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8F649" w14:textId="77777777" w:rsidR="008D3DF2" w:rsidRDefault="008D3DF2"/>
    <w:p w14:paraId="157F94CC" w14:textId="77777777" w:rsidR="00791517" w:rsidRDefault="00791517"/>
    <w:tbl>
      <w:tblPr>
        <w:tblW w:w="9636" w:type="dxa"/>
        <w:jc w:val="center"/>
        <w:tblLook w:val="04A0" w:firstRow="1" w:lastRow="0" w:firstColumn="1" w:lastColumn="0" w:noHBand="0" w:noVBand="1"/>
      </w:tblPr>
      <w:tblGrid>
        <w:gridCol w:w="2620"/>
        <w:gridCol w:w="3716"/>
        <w:gridCol w:w="651"/>
        <w:gridCol w:w="706"/>
        <w:gridCol w:w="619"/>
        <w:gridCol w:w="683"/>
        <w:gridCol w:w="641"/>
      </w:tblGrid>
      <w:tr w:rsidR="00791517" w:rsidRPr="00DB5CDA" w14:paraId="5E8C4440" w14:textId="77777777" w:rsidTr="009B5451">
        <w:trPr>
          <w:trHeight w:val="480"/>
          <w:jc w:val="center"/>
        </w:trPr>
        <w:tc>
          <w:tcPr>
            <w:tcW w:w="2637" w:type="dxa"/>
            <w:vMerge w:val="restart"/>
            <w:tcBorders>
              <w:top w:val="single" w:sz="2" w:space="0" w:color="auto"/>
              <w:left w:val="single" w:sz="2" w:space="0" w:color="auto"/>
              <w:bottom w:val="single" w:sz="2" w:space="0" w:color="auto"/>
              <w:right w:val="single" w:sz="2" w:space="0" w:color="auto"/>
            </w:tcBorders>
            <w:shd w:val="clear" w:color="auto" w:fill="A8D08D"/>
          </w:tcPr>
          <w:p w14:paraId="2A268845" w14:textId="77777777" w:rsidR="00791517" w:rsidRPr="00DB5CDA" w:rsidRDefault="00791517" w:rsidP="009B5451">
            <w:pPr>
              <w:pStyle w:val="Zhlav"/>
              <w:rPr>
                <w:rFonts w:ascii="Arial" w:hAnsi="Arial" w:cs="Arial"/>
                <w:b/>
              </w:rPr>
            </w:pPr>
          </w:p>
          <w:p w14:paraId="234685BA" w14:textId="77777777" w:rsidR="00791517" w:rsidRPr="00DB5CDA" w:rsidRDefault="00791517" w:rsidP="009B5451">
            <w:pPr>
              <w:pStyle w:val="Zhlav"/>
              <w:rPr>
                <w:rFonts w:ascii="Arial" w:hAnsi="Arial" w:cs="Arial"/>
                <w:b/>
              </w:rPr>
            </w:pPr>
            <w:proofErr w:type="spellStart"/>
            <w:r w:rsidRPr="00DB5CDA">
              <w:rPr>
                <w:rFonts w:ascii="Arial" w:hAnsi="Arial" w:cs="Arial"/>
                <w:b/>
              </w:rPr>
              <w:t>M</w:t>
            </w:r>
            <w:r>
              <w:rPr>
                <w:rFonts w:ascii="Arial" w:hAnsi="Arial" w:cs="Arial"/>
                <w:b/>
              </w:rPr>
              <w:t>Zd</w:t>
            </w:r>
            <w:proofErr w:type="spellEnd"/>
          </w:p>
          <w:p w14:paraId="6384EF0F" w14:textId="77777777" w:rsidR="00791517" w:rsidRPr="00DB5CDA" w:rsidRDefault="00791517" w:rsidP="009B5451">
            <w:pPr>
              <w:pStyle w:val="Zhlav"/>
              <w:rPr>
                <w:rFonts w:ascii="Arial" w:hAnsi="Arial" w:cs="Arial"/>
                <w:b/>
                <w:smallCaps/>
                <w:spacing w:val="20"/>
              </w:rPr>
            </w:pPr>
          </w:p>
        </w:tc>
        <w:tc>
          <w:tcPr>
            <w:tcW w:w="3753" w:type="dxa"/>
            <w:vMerge w:val="restart"/>
            <w:tcBorders>
              <w:top w:val="single" w:sz="2" w:space="0" w:color="auto"/>
              <w:left w:val="single" w:sz="2" w:space="0" w:color="auto"/>
              <w:bottom w:val="single" w:sz="2" w:space="0" w:color="auto"/>
              <w:right w:val="single" w:sz="2" w:space="0" w:color="auto"/>
            </w:tcBorders>
            <w:shd w:val="clear" w:color="auto" w:fill="A8D08D"/>
          </w:tcPr>
          <w:p w14:paraId="7DD3FF04" w14:textId="77777777" w:rsidR="00791517" w:rsidRPr="00DB5CDA" w:rsidRDefault="00791517" w:rsidP="009B5451">
            <w:pPr>
              <w:rPr>
                <w:rFonts w:ascii="Arial" w:hAnsi="Arial" w:cs="Arial"/>
                <w:b/>
              </w:rPr>
            </w:pPr>
          </w:p>
          <w:p w14:paraId="48EB4439" w14:textId="77777777" w:rsidR="00791517" w:rsidRPr="00DB5CDA" w:rsidRDefault="00791517" w:rsidP="009B5451">
            <w:pPr>
              <w:rPr>
                <w:rFonts w:ascii="Arial" w:hAnsi="Arial" w:cs="Arial"/>
                <w:b/>
              </w:rPr>
            </w:pPr>
            <w:r w:rsidRPr="004C349F">
              <w:rPr>
                <w:rFonts w:ascii="Arial" w:hAnsi="Arial" w:cs="Arial"/>
                <w:b/>
              </w:rPr>
              <w:t xml:space="preserve">Fakultní nemocnice </w:t>
            </w:r>
            <w:r w:rsidRPr="00A814AE">
              <w:rPr>
                <w:rFonts w:ascii="Arial" w:hAnsi="Arial" w:cs="Arial"/>
                <w:b/>
              </w:rPr>
              <w:t>v Motole</w:t>
            </w:r>
          </w:p>
        </w:tc>
        <w:tc>
          <w:tcPr>
            <w:tcW w:w="655" w:type="dxa"/>
            <w:tcBorders>
              <w:top w:val="single" w:sz="2" w:space="0" w:color="auto"/>
              <w:left w:val="single" w:sz="2" w:space="0" w:color="auto"/>
              <w:bottom w:val="single" w:sz="2" w:space="0" w:color="auto"/>
              <w:right w:val="single" w:sz="2" w:space="0" w:color="auto"/>
            </w:tcBorders>
            <w:shd w:val="clear" w:color="auto" w:fill="A8D08D"/>
            <w:vAlign w:val="center"/>
          </w:tcPr>
          <w:p w14:paraId="04A51DA5" w14:textId="5DFE47B8" w:rsidR="00791517" w:rsidRPr="00DB5CDA" w:rsidRDefault="00922F67" w:rsidP="009B5451">
            <w:pPr>
              <w:rPr>
                <w:rFonts w:ascii="Arial" w:hAnsi="Arial" w:cs="Arial"/>
                <w:b/>
              </w:rPr>
            </w:pPr>
            <w:r>
              <w:rPr>
                <w:rFonts w:ascii="Arial" w:hAnsi="Arial" w:cs="Arial"/>
                <w:b/>
              </w:rPr>
              <w:t>A</w:t>
            </w: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4D6EFBBD" w14:textId="05A28D1F" w:rsidR="00791517" w:rsidRPr="00DB5CDA" w:rsidRDefault="00922F67" w:rsidP="009B5451">
            <w:pPr>
              <w:rPr>
                <w:rFonts w:ascii="Arial" w:hAnsi="Arial" w:cs="Arial"/>
              </w:rPr>
            </w:pPr>
            <w:r>
              <w:rPr>
                <w:rFonts w:ascii="Arial" w:hAnsi="Arial" w:cs="Arial"/>
              </w:rPr>
              <w:t>M1/2</w:t>
            </w:r>
          </w:p>
        </w:tc>
        <w:tc>
          <w:tcPr>
            <w:tcW w:w="620" w:type="dxa"/>
            <w:tcBorders>
              <w:top w:val="single" w:sz="2" w:space="0" w:color="auto"/>
              <w:left w:val="single" w:sz="2" w:space="0" w:color="auto"/>
              <w:bottom w:val="single" w:sz="2" w:space="0" w:color="auto"/>
              <w:right w:val="single" w:sz="2" w:space="0" w:color="auto"/>
            </w:tcBorders>
            <w:shd w:val="clear" w:color="auto" w:fill="auto"/>
            <w:vAlign w:val="center"/>
          </w:tcPr>
          <w:p w14:paraId="35BC4F5D" w14:textId="57929EFA" w:rsidR="00791517" w:rsidRPr="00DB5CDA" w:rsidRDefault="00922F67" w:rsidP="009B5451">
            <w:pPr>
              <w:rPr>
                <w:rFonts w:ascii="Arial" w:hAnsi="Arial" w:cs="Arial"/>
              </w:rPr>
            </w:pPr>
            <w:r>
              <w:rPr>
                <w:rFonts w:ascii="Arial" w:hAnsi="Arial" w:cs="Arial"/>
              </w:rPr>
              <w:t>M3</w:t>
            </w:r>
          </w:p>
        </w:tc>
        <w:tc>
          <w:tcPr>
            <w:tcW w:w="685" w:type="dxa"/>
            <w:tcBorders>
              <w:top w:val="single" w:sz="2" w:space="0" w:color="auto"/>
              <w:left w:val="single" w:sz="2" w:space="0" w:color="auto"/>
              <w:bottom w:val="single" w:sz="2" w:space="0" w:color="auto"/>
              <w:right w:val="single" w:sz="2" w:space="0" w:color="auto"/>
            </w:tcBorders>
            <w:shd w:val="clear" w:color="auto" w:fill="auto"/>
            <w:vAlign w:val="center"/>
          </w:tcPr>
          <w:p w14:paraId="143D6420" w14:textId="591C6B87" w:rsidR="00791517" w:rsidRPr="00DB5CDA" w:rsidRDefault="00922F67" w:rsidP="009B5451">
            <w:pPr>
              <w:rPr>
                <w:rFonts w:ascii="Arial" w:hAnsi="Arial" w:cs="Arial"/>
              </w:rPr>
            </w:pPr>
            <w:r>
              <w:rPr>
                <w:rFonts w:ascii="Arial" w:hAnsi="Arial" w:cs="Arial"/>
              </w:rPr>
              <w:t>M4</w:t>
            </w: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1236E217" w14:textId="28FDD9CE" w:rsidR="00791517" w:rsidRPr="00DB5CDA" w:rsidRDefault="00922F67" w:rsidP="009B5451">
            <w:pPr>
              <w:rPr>
                <w:rFonts w:ascii="Arial" w:hAnsi="Arial" w:cs="Arial"/>
              </w:rPr>
            </w:pPr>
            <w:r>
              <w:rPr>
                <w:rFonts w:ascii="Arial" w:hAnsi="Arial" w:cs="Arial"/>
              </w:rPr>
              <w:t>M5</w:t>
            </w:r>
          </w:p>
        </w:tc>
      </w:tr>
      <w:tr w:rsidR="00791517" w:rsidRPr="00DB5CDA" w14:paraId="53909774" w14:textId="77777777" w:rsidTr="009B5451">
        <w:trPr>
          <w:trHeight w:val="402"/>
          <w:jc w:val="center"/>
        </w:trPr>
        <w:tc>
          <w:tcPr>
            <w:tcW w:w="2637" w:type="dxa"/>
            <w:vMerge/>
            <w:tcBorders>
              <w:top w:val="single" w:sz="2" w:space="0" w:color="auto"/>
              <w:left w:val="single" w:sz="2" w:space="0" w:color="auto"/>
              <w:bottom w:val="single" w:sz="2" w:space="0" w:color="auto"/>
              <w:right w:val="single" w:sz="2" w:space="0" w:color="auto"/>
            </w:tcBorders>
            <w:shd w:val="clear" w:color="auto" w:fill="A8D08D"/>
          </w:tcPr>
          <w:p w14:paraId="4623386C" w14:textId="77777777" w:rsidR="00791517" w:rsidRPr="00DB5CDA" w:rsidRDefault="00791517" w:rsidP="009B5451">
            <w:pPr>
              <w:pStyle w:val="Zhlav"/>
              <w:rPr>
                <w:rFonts w:ascii="Arial" w:hAnsi="Arial" w:cs="Arial"/>
                <w:b/>
                <w:smallCaps/>
                <w:spacing w:val="20"/>
              </w:rPr>
            </w:pPr>
          </w:p>
        </w:tc>
        <w:tc>
          <w:tcPr>
            <w:tcW w:w="3753" w:type="dxa"/>
            <w:vMerge/>
            <w:tcBorders>
              <w:top w:val="single" w:sz="2" w:space="0" w:color="auto"/>
              <w:left w:val="single" w:sz="2" w:space="0" w:color="auto"/>
              <w:bottom w:val="single" w:sz="2" w:space="0" w:color="auto"/>
              <w:right w:val="single" w:sz="2" w:space="0" w:color="auto"/>
            </w:tcBorders>
            <w:shd w:val="clear" w:color="auto" w:fill="A8D08D"/>
          </w:tcPr>
          <w:p w14:paraId="503853A9" w14:textId="77777777" w:rsidR="00791517" w:rsidRPr="00DB5CDA" w:rsidRDefault="00791517" w:rsidP="009B5451">
            <w:pPr>
              <w:pStyle w:val="Zhlav"/>
              <w:rPr>
                <w:rFonts w:ascii="Arial" w:hAnsi="Arial" w:cs="Arial"/>
                <w:smallCaps/>
                <w:spacing w:val="20"/>
              </w:rPr>
            </w:pPr>
          </w:p>
        </w:tc>
        <w:tc>
          <w:tcPr>
            <w:tcW w:w="655" w:type="dxa"/>
            <w:tcBorders>
              <w:top w:val="single" w:sz="2" w:space="0" w:color="auto"/>
              <w:left w:val="single" w:sz="2" w:space="0" w:color="auto"/>
              <w:bottom w:val="single" w:sz="2" w:space="0" w:color="auto"/>
              <w:right w:val="single" w:sz="2" w:space="0" w:color="auto"/>
            </w:tcBorders>
            <w:shd w:val="clear" w:color="auto" w:fill="A8D08D"/>
            <w:vAlign w:val="center"/>
          </w:tcPr>
          <w:p w14:paraId="1BEE5EBA" w14:textId="767BD89F" w:rsidR="00791517" w:rsidRPr="00DB5CDA" w:rsidRDefault="00791517" w:rsidP="009B5451">
            <w:pPr>
              <w:pStyle w:val="Zhlav"/>
              <w:rPr>
                <w:rFonts w:ascii="Arial" w:hAnsi="Arial" w:cs="Arial"/>
                <w:b/>
                <w:smallCaps/>
                <w:spacing w:val="20"/>
              </w:rPr>
            </w:pP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22B4C15D" w14:textId="480C9735" w:rsidR="00791517" w:rsidRPr="00DB5CDA" w:rsidRDefault="00922F67" w:rsidP="009B5451">
            <w:pPr>
              <w:pStyle w:val="Zhlav"/>
              <w:rPr>
                <w:rFonts w:ascii="Arial" w:hAnsi="Arial" w:cs="Arial"/>
                <w:smallCaps/>
                <w:spacing w:val="20"/>
              </w:rPr>
            </w:pPr>
            <w:r>
              <w:rPr>
                <w:rFonts w:ascii="Arial" w:hAnsi="Arial" w:cs="Arial"/>
                <w:smallCaps/>
                <w:spacing w:val="20"/>
              </w:rPr>
              <w:t>A</w:t>
            </w:r>
          </w:p>
        </w:tc>
        <w:tc>
          <w:tcPr>
            <w:tcW w:w="620" w:type="dxa"/>
            <w:tcBorders>
              <w:top w:val="single" w:sz="2" w:space="0" w:color="auto"/>
              <w:left w:val="single" w:sz="2" w:space="0" w:color="auto"/>
              <w:bottom w:val="single" w:sz="2" w:space="0" w:color="auto"/>
              <w:right w:val="single" w:sz="2" w:space="0" w:color="auto"/>
            </w:tcBorders>
            <w:shd w:val="clear" w:color="auto" w:fill="auto"/>
            <w:vAlign w:val="center"/>
          </w:tcPr>
          <w:p w14:paraId="0B6AE4AE" w14:textId="2D998AD4" w:rsidR="00791517" w:rsidRPr="00DB5CDA" w:rsidRDefault="00922F67" w:rsidP="009B5451">
            <w:pPr>
              <w:pStyle w:val="Zhlav"/>
              <w:rPr>
                <w:rFonts w:ascii="Arial" w:hAnsi="Arial" w:cs="Arial"/>
                <w:smallCaps/>
                <w:spacing w:val="20"/>
              </w:rPr>
            </w:pPr>
            <w:r>
              <w:rPr>
                <w:rFonts w:ascii="Arial" w:hAnsi="Arial" w:cs="Arial"/>
                <w:smallCaps/>
                <w:spacing w:val="20"/>
              </w:rPr>
              <w:t>A</w:t>
            </w:r>
          </w:p>
        </w:tc>
        <w:tc>
          <w:tcPr>
            <w:tcW w:w="685" w:type="dxa"/>
            <w:tcBorders>
              <w:top w:val="single" w:sz="2" w:space="0" w:color="auto"/>
              <w:left w:val="single" w:sz="2" w:space="0" w:color="auto"/>
              <w:bottom w:val="single" w:sz="2" w:space="0" w:color="auto"/>
              <w:right w:val="single" w:sz="2" w:space="0" w:color="auto"/>
            </w:tcBorders>
            <w:shd w:val="clear" w:color="auto" w:fill="auto"/>
            <w:vAlign w:val="center"/>
          </w:tcPr>
          <w:p w14:paraId="1ED39D29" w14:textId="766FBC6E" w:rsidR="00791517" w:rsidRPr="00DB5CDA" w:rsidRDefault="00922F67" w:rsidP="009B5451">
            <w:pPr>
              <w:pStyle w:val="Zhlav"/>
              <w:rPr>
                <w:rFonts w:ascii="Arial" w:hAnsi="Arial" w:cs="Arial"/>
                <w:smallCaps/>
                <w:spacing w:val="20"/>
              </w:rPr>
            </w:pPr>
            <w:r>
              <w:rPr>
                <w:rFonts w:ascii="Arial" w:hAnsi="Arial" w:cs="Arial"/>
                <w:smallCaps/>
                <w:spacing w:val="20"/>
              </w:rPr>
              <w:t>A</w:t>
            </w:r>
          </w:p>
        </w:tc>
        <w:tc>
          <w:tcPr>
            <w:tcW w:w="643" w:type="dxa"/>
            <w:tcBorders>
              <w:top w:val="single" w:sz="2" w:space="0" w:color="auto"/>
              <w:left w:val="single" w:sz="2" w:space="0" w:color="auto"/>
              <w:bottom w:val="single" w:sz="2" w:space="0" w:color="auto"/>
              <w:right w:val="single" w:sz="2" w:space="0" w:color="auto"/>
            </w:tcBorders>
            <w:shd w:val="clear" w:color="auto" w:fill="auto"/>
            <w:vAlign w:val="center"/>
          </w:tcPr>
          <w:p w14:paraId="3740FF58" w14:textId="379CCADD" w:rsidR="00791517" w:rsidRPr="00DB5CDA" w:rsidRDefault="00922F67" w:rsidP="009B5451">
            <w:pPr>
              <w:pStyle w:val="Zhlav"/>
              <w:rPr>
                <w:rFonts w:ascii="Arial" w:hAnsi="Arial" w:cs="Arial"/>
                <w:smallCaps/>
                <w:spacing w:val="20"/>
              </w:rPr>
            </w:pPr>
            <w:r>
              <w:rPr>
                <w:rFonts w:ascii="Arial" w:hAnsi="Arial" w:cs="Arial"/>
                <w:smallCaps/>
                <w:spacing w:val="20"/>
              </w:rPr>
              <w:t>A</w:t>
            </w:r>
          </w:p>
        </w:tc>
      </w:tr>
      <w:tr w:rsidR="00EA1722" w:rsidRPr="00B6624C" w14:paraId="1748E89C" w14:textId="77777777" w:rsidTr="009B5451">
        <w:trPr>
          <w:trHeight w:val="265"/>
          <w:jc w:val="center"/>
        </w:trPr>
        <w:tc>
          <w:tcPr>
            <w:tcW w:w="2637" w:type="dxa"/>
            <w:tcBorders>
              <w:top w:val="single" w:sz="2" w:space="0" w:color="auto"/>
              <w:left w:val="single" w:sz="2" w:space="0" w:color="auto"/>
              <w:right w:val="single" w:sz="2" w:space="0" w:color="auto"/>
            </w:tcBorders>
            <w:shd w:val="clear" w:color="auto" w:fill="auto"/>
            <w:vAlign w:val="center"/>
          </w:tcPr>
          <w:p w14:paraId="42192ECE" w14:textId="77777777" w:rsidR="00EA1722" w:rsidRDefault="00EA1722" w:rsidP="00EA1722">
            <w:pPr>
              <w:pStyle w:val="Zhlav"/>
              <w:rPr>
                <w:rFonts w:ascii="Arial" w:hAnsi="Arial" w:cs="Arial"/>
                <w:b/>
                <w:szCs w:val="22"/>
              </w:rPr>
            </w:pPr>
          </w:p>
          <w:p w14:paraId="6D0F17BA" w14:textId="736DB83F" w:rsidR="00EA1722" w:rsidRPr="00DB5CDA" w:rsidRDefault="00EA1722" w:rsidP="00EA1722">
            <w:pPr>
              <w:pStyle w:val="Zhlav"/>
              <w:rPr>
                <w:rFonts w:ascii="Arial" w:hAnsi="Arial" w:cs="Arial"/>
                <w:b/>
                <w:smallCaps/>
                <w:spacing w:val="20"/>
                <w:szCs w:val="22"/>
              </w:rPr>
            </w:pPr>
            <w:r w:rsidRPr="00796777">
              <w:rPr>
                <w:rFonts w:ascii="Arial" w:hAnsi="Arial" w:cs="Arial"/>
                <w:b/>
                <w:szCs w:val="22"/>
              </w:rPr>
              <w:t>Výsledné hodnocení</w:t>
            </w:r>
            <w:r>
              <w:rPr>
                <w:rFonts w:ascii="Arial" w:hAnsi="Arial" w:cs="Arial"/>
                <w:b/>
                <w:szCs w:val="22"/>
              </w:rPr>
              <w:t xml:space="preserve"> </w:t>
            </w:r>
            <w:r w:rsidR="006F365C">
              <w:rPr>
                <w:rFonts w:ascii="Arial" w:hAnsi="Arial" w:cs="Arial"/>
                <w:b/>
                <w:szCs w:val="22"/>
              </w:rPr>
              <w:t xml:space="preserve">v modulech 1 až 5 je </w:t>
            </w:r>
            <w:r>
              <w:rPr>
                <w:rFonts w:ascii="Arial" w:hAnsi="Arial" w:cs="Arial"/>
                <w:b/>
                <w:szCs w:val="22"/>
              </w:rPr>
              <w:t>A</w:t>
            </w:r>
          </w:p>
        </w:tc>
        <w:tc>
          <w:tcPr>
            <w:tcW w:w="6999" w:type="dxa"/>
            <w:gridSpan w:val="6"/>
            <w:tcBorders>
              <w:top w:val="single" w:sz="2" w:space="0" w:color="auto"/>
              <w:left w:val="single" w:sz="2" w:space="0" w:color="auto"/>
              <w:right w:val="single" w:sz="2" w:space="0" w:color="auto"/>
            </w:tcBorders>
            <w:shd w:val="clear" w:color="auto" w:fill="auto"/>
            <w:vAlign w:val="center"/>
          </w:tcPr>
          <w:p w14:paraId="75AA09DA" w14:textId="6BCF80A8" w:rsidR="00EA1722" w:rsidRPr="00B6624C" w:rsidRDefault="00922F67" w:rsidP="00EA1722">
            <w:pPr>
              <w:pStyle w:val="Zhlav"/>
              <w:jc w:val="both"/>
              <w:rPr>
                <w:rFonts w:ascii="Arial" w:hAnsi="Arial" w:cs="Arial"/>
                <w:szCs w:val="22"/>
              </w:rPr>
            </w:pPr>
            <w:r w:rsidRPr="004C73B8">
              <w:rPr>
                <w:rFonts w:ascii="Arial" w:hAnsi="Arial" w:cs="Arial"/>
                <w:b/>
                <w:color w:val="000000" w:themeColor="text1"/>
                <w:szCs w:val="22"/>
              </w:rPr>
              <w:t xml:space="preserve">Moduly M1-2 </w:t>
            </w:r>
            <w:r>
              <w:rPr>
                <w:rFonts w:ascii="Arial" w:hAnsi="Arial" w:cs="Arial"/>
                <w:b/>
                <w:color w:val="000000" w:themeColor="text1"/>
                <w:szCs w:val="22"/>
              </w:rPr>
              <w:t xml:space="preserve">po tripartitě v roce </w:t>
            </w:r>
            <w:proofErr w:type="gramStart"/>
            <w:r>
              <w:rPr>
                <w:rFonts w:ascii="Arial" w:hAnsi="Arial" w:cs="Arial"/>
                <w:b/>
                <w:color w:val="000000" w:themeColor="text1"/>
                <w:szCs w:val="22"/>
              </w:rPr>
              <w:t>202</w:t>
            </w:r>
            <w:r w:rsidR="00A42BE2">
              <w:rPr>
                <w:rFonts w:ascii="Arial" w:hAnsi="Arial" w:cs="Arial"/>
                <w:b/>
                <w:color w:val="000000" w:themeColor="text1"/>
                <w:szCs w:val="22"/>
              </w:rPr>
              <w:t xml:space="preserve">4 </w:t>
            </w:r>
            <w:r>
              <w:rPr>
                <w:rFonts w:ascii="Arial" w:hAnsi="Arial" w:cs="Arial"/>
                <w:b/>
                <w:color w:val="000000" w:themeColor="text1"/>
                <w:szCs w:val="22"/>
              </w:rPr>
              <w:t>– A</w:t>
            </w:r>
            <w:proofErr w:type="gramEnd"/>
          </w:p>
        </w:tc>
      </w:tr>
      <w:tr w:rsidR="00EA1722" w:rsidRPr="00B6624C" w14:paraId="1D4E6DCD"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51B8B796" w14:textId="77777777" w:rsidR="00EA1722" w:rsidRDefault="00EA1722" w:rsidP="00255739">
            <w:pPr>
              <w:pStyle w:val="Zhlav"/>
              <w:jc w:val="both"/>
              <w:rPr>
                <w:rFonts w:ascii="Arial" w:hAnsi="Arial" w:cs="Arial"/>
                <w:b/>
                <w:szCs w:val="22"/>
              </w:rPr>
            </w:pPr>
          </w:p>
          <w:p w14:paraId="3667E0DE" w14:textId="77777777" w:rsidR="00EA1722" w:rsidRDefault="00EA1722" w:rsidP="00255739">
            <w:pPr>
              <w:pStyle w:val="Zhlav"/>
              <w:jc w:val="both"/>
              <w:rPr>
                <w:rFonts w:ascii="Arial" w:hAnsi="Arial" w:cs="Arial"/>
                <w:b/>
                <w:szCs w:val="22"/>
              </w:rPr>
            </w:pPr>
          </w:p>
          <w:p w14:paraId="4A2A634A" w14:textId="77777777" w:rsidR="00EA1722" w:rsidRDefault="00EA1722" w:rsidP="00255739">
            <w:pPr>
              <w:pStyle w:val="Zhlav"/>
              <w:jc w:val="both"/>
              <w:rPr>
                <w:rFonts w:ascii="Arial" w:hAnsi="Arial" w:cs="Arial"/>
                <w:b/>
                <w:szCs w:val="22"/>
              </w:rPr>
            </w:pPr>
            <w:r w:rsidRPr="00DB5CDA">
              <w:rPr>
                <w:rFonts w:ascii="Arial" w:hAnsi="Arial" w:cs="Arial"/>
                <w:b/>
                <w:szCs w:val="22"/>
              </w:rPr>
              <w:t xml:space="preserve">Modul </w:t>
            </w:r>
            <w:r>
              <w:rPr>
                <w:rFonts w:ascii="Arial" w:hAnsi="Arial" w:cs="Arial"/>
                <w:b/>
                <w:szCs w:val="22"/>
              </w:rPr>
              <w:t>3</w:t>
            </w:r>
            <w:r w:rsidRPr="00DB5CDA">
              <w:rPr>
                <w:rFonts w:ascii="Arial" w:hAnsi="Arial" w:cs="Arial"/>
                <w:b/>
                <w:szCs w:val="22"/>
              </w:rPr>
              <w:t xml:space="preserve"> – </w:t>
            </w:r>
            <w:r>
              <w:rPr>
                <w:rFonts w:ascii="Arial" w:hAnsi="Arial" w:cs="Arial"/>
                <w:b/>
                <w:szCs w:val="22"/>
              </w:rPr>
              <w:t>Společenská relevance A</w:t>
            </w:r>
          </w:p>
          <w:p w14:paraId="572FE207" w14:textId="77777777" w:rsidR="00EA1722" w:rsidRDefault="00EA1722" w:rsidP="00255739">
            <w:pPr>
              <w:pStyle w:val="Zhlav"/>
              <w:jc w:val="both"/>
              <w:rPr>
                <w:rFonts w:ascii="Arial" w:hAnsi="Arial" w:cs="Arial"/>
                <w:b/>
                <w:szCs w:val="22"/>
              </w:rPr>
            </w:pPr>
          </w:p>
          <w:p w14:paraId="63105840" w14:textId="1FF9EAFD" w:rsidR="00EA1722" w:rsidRPr="00DB5CDA" w:rsidRDefault="00EA1722" w:rsidP="00255739">
            <w:pPr>
              <w:pStyle w:val="Zhlav"/>
              <w:jc w:val="both"/>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253CE562" w14:textId="71D1B137" w:rsidR="006F365C" w:rsidRDefault="006F365C" w:rsidP="00255739">
            <w:pPr>
              <w:pBdr>
                <w:bottom w:val="single" w:sz="6" w:space="1" w:color="auto"/>
              </w:pBdr>
              <w:jc w:val="both"/>
              <w:rPr>
                <w:rFonts w:ascii="Arial" w:hAnsi="Arial" w:cs="Arial"/>
                <w:color w:val="212121"/>
                <w:lang w:eastAsia="en-GB"/>
              </w:rPr>
            </w:pPr>
            <w:r w:rsidRPr="00022C44">
              <w:rPr>
                <w:rFonts w:ascii="Arial" w:hAnsi="Arial" w:cs="Arial"/>
                <w:color w:val="000000" w:themeColor="text1"/>
              </w:rPr>
              <w:t>FN Motol</w:t>
            </w:r>
            <w:r w:rsidR="00094A1B">
              <w:rPr>
                <w:rFonts w:ascii="Arial" w:hAnsi="Arial" w:cs="Arial"/>
                <w:color w:val="000000" w:themeColor="text1"/>
              </w:rPr>
              <w:t xml:space="preserve"> (FNM)</w:t>
            </w:r>
            <w:r w:rsidRPr="00022C44">
              <w:rPr>
                <w:rFonts w:ascii="Arial" w:hAnsi="Arial" w:cs="Arial"/>
                <w:color w:val="000000" w:themeColor="text1"/>
              </w:rPr>
              <w:t xml:space="preserve"> je velice aktivní v oblasti aplikovaného výzkumu. </w:t>
            </w:r>
            <w:r w:rsidRPr="00022C44">
              <w:rPr>
                <w:rFonts w:ascii="Arial" w:hAnsi="Arial" w:cs="Arial"/>
              </w:rPr>
              <w:t xml:space="preserve">Ve výběru nejvýznamnějších projektů aplikovaného výzkumu uvádí </w:t>
            </w:r>
            <w:r w:rsidR="00094A1B">
              <w:rPr>
                <w:rFonts w:ascii="Arial" w:hAnsi="Arial" w:cs="Arial"/>
              </w:rPr>
              <w:t>FNM</w:t>
            </w:r>
            <w:r w:rsidRPr="00022C44">
              <w:rPr>
                <w:rFonts w:ascii="Arial" w:hAnsi="Arial" w:cs="Arial"/>
              </w:rPr>
              <w:t xml:space="preserve"> projekty AZV</w:t>
            </w:r>
            <w:r w:rsidR="00094A1B">
              <w:rPr>
                <w:rFonts w:ascii="Arial" w:hAnsi="Arial" w:cs="Arial"/>
              </w:rPr>
              <w:t xml:space="preserve"> ČR</w:t>
            </w:r>
            <w:r w:rsidRPr="00022C44">
              <w:rPr>
                <w:rFonts w:ascii="Arial" w:hAnsi="Arial" w:cs="Arial"/>
              </w:rPr>
              <w:t>, které v hodnoceném období byly oceněny Cenou ministra zdravotnictví. Oceněné projekty odrážejí priority a cíle FN</w:t>
            </w:r>
            <w:r w:rsidR="00094A1B">
              <w:rPr>
                <w:rFonts w:ascii="Arial" w:hAnsi="Arial" w:cs="Arial"/>
              </w:rPr>
              <w:t>M</w:t>
            </w:r>
            <w:r w:rsidRPr="00022C44">
              <w:rPr>
                <w:rFonts w:ascii="Arial" w:hAnsi="Arial" w:cs="Arial"/>
              </w:rPr>
              <w:t xml:space="preserve">. </w:t>
            </w:r>
            <w:r w:rsidRPr="00022C44">
              <w:rPr>
                <w:rFonts w:ascii="Arial" w:hAnsi="Arial" w:cs="Arial"/>
                <w:color w:val="000000" w:themeColor="text1"/>
              </w:rPr>
              <w:t xml:space="preserve">V oblasti ekonomického dopadu uvádí VO </w:t>
            </w:r>
            <w:r w:rsidRPr="00022C44">
              <w:rPr>
                <w:rFonts w:ascii="Arial" w:hAnsi="Arial" w:cs="Arial"/>
                <w:iCs/>
              </w:rPr>
              <w:t xml:space="preserve">uznané patenty (4x ČR, jednou evropský) a užitný vzor, které směřují k praktickým aplikacím výzkumných výsledků. </w:t>
            </w:r>
            <w:r w:rsidR="00094A1B">
              <w:rPr>
                <w:rFonts w:ascii="Arial" w:hAnsi="Arial" w:cs="Arial"/>
                <w:iCs/>
              </w:rPr>
              <w:t>FNM</w:t>
            </w:r>
            <w:r w:rsidRPr="00022C44">
              <w:rPr>
                <w:rFonts w:ascii="Arial" w:hAnsi="Arial" w:cs="Arial"/>
                <w:iCs/>
              </w:rPr>
              <w:t xml:space="preserve"> se soustavně snaží o uplatnění takových výstupů v praxi. V současné době probíhá proces licencování jednoho z českých patentů zaměřeného na stanovení </w:t>
            </w:r>
            <w:proofErr w:type="spellStart"/>
            <w:r w:rsidRPr="00022C44">
              <w:rPr>
                <w:rFonts w:ascii="Arial" w:hAnsi="Arial" w:cs="Arial"/>
                <w:iCs/>
              </w:rPr>
              <w:t>defensinu</w:t>
            </w:r>
            <w:proofErr w:type="spellEnd"/>
            <w:r w:rsidRPr="00022C44">
              <w:rPr>
                <w:rFonts w:ascii="Arial" w:hAnsi="Arial" w:cs="Arial"/>
                <w:iCs/>
              </w:rPr>
              <w:t xml:space="preserve"> v kloubu jako markeru infekce. Všechny uvedené výsledky mají významný potenciál pro možnou komercionalizaci. </w:t>
            </w:r>
            <w:r w:rsidRPr="00022C44">
              <w:rPr>
                <w:rFonts w:ascii="Arial" w:hAnsi="Arial" w:cs="Arial"/>
              </w:rPr>
              <w:t xml:space="preserve">K výběru výsledků se společenským dopadem přistoupila VO poněkud nestandardně a jako výsledky zvolila projekty, případně celý blok aktivit, jako například Systém ERN center (jedná se o zdravotnické zařízení s největším počtem ERN Center v ČR) v významným přesahem do oblasti </w:t>
            </w:r>
            <w:proofErr w:type="spellStart"/>
            <w:r w:rsidRPr="00022C44">
              <w:rPr>
                <w:rFonts w:ascii="Arial" w:hAnsi="Arial" w:cs="Arial"/>
              </w:rPr>
              <w:t>VaVaI</w:t>
            </w:r>
            <w:proofErr w:type="spellEnd"/>
            <w:r w:rsidRPr="00022C44">
              <w:rPr>
                <w:rFonts w:ascii="Arial" w:hAnsi="Arial" w:cs="Arial"/>
              </w:rPr>
              <w:t xml:space="preserve">, Série prací z období pandemie COVID-19 (VO byla publikačně nejaktivnější VO v této oblasti v době pandemie), Technologická revoluce v léčbě diabetu 1. typu, apod. Všechny tyto činnosti mají jednoznačně zásadní společenský význam a dopad do oblasti zdraví na národní i mezinárodní úrovni. </w:t>
            </w:r>
            <w:r w:rsidRPr="00022C44">
              <w:rPr>
                <w:rFonts w:ascii="Arial" w:hAnsi="Arial" w:cs="Arial"/>
                <w:color w:val="000000" w:themeColor="text1"/>
              </w:rPr>
              <w:t xml:space="preserve">Významná ocenění pracovníků jsou jak svým </w:t>
            </w:r>
            <w:r w:rsidR="00094A1B" w:rsidRPr="00022C44">
              <w:rPr>
                <w:rFonts w:ascii="Arial" w:hAnsi="Arial" w:cs="Arial"/>
                <w:color w:val="000000" w:themeColor="text1"/>
              </w:rPr>
              <w:t>rozsahem,</w:t>
            </w:r>
            <w:r w:rsidRPr="00022C44">
              <w:rPr>
                <w:rFonts w:ascii="Arial" w:hAnsi="Arial" w:cs="Arial"/>
                <w:color w:val="000000" w:themeColor="text1"/>
              </w:rPr>
              <w:t xml:space="preserve"> tak významností v ČR naprosto nadstandardní, z pěti vybraných například </w:t>
            </w:r>
            <w:proofErr w:type="spellStart"/>
            <w:r w:rsidRPr="00022C44">
              <w:rPr>
                <w:rFonts w:ascii="Arial" w:hAnsi="Arial" w:cs="Arial"/>
                <w:color w:val="000000" w:themeColor="text1"/>
              </w:rPr>
              <w:t>Outstanding</w:t>
            </w:r>
            <w:proofErr w:type="spellEnd"/>
            <w:r w:rsidRPr="00022C44">
              <w:rPr>
                <w:rFonts w:ascii="Arial" w:hAnsi="Arial" w:cs="Arial"/>
                <w:color w:val="000000" w:themeColor="text1"/>
              </w:rPr>
              <w:t xml:space="preserve"> </w:t>
            </w:r>
            <w:proofErr w:type="spellStart"/>
            <w:r w:rsidRPr="00022C44">
              <w:rPr>
                <w:rFonts w:ascii="Arial" w:hAnsi="Arial" w:cs="Arial"/>
                <w:color w:val="000000" w:themeColor="text1"/>
              </w:rPr>
              <w:t>Clinician</w:t>
            </w:r>
            <w:proofErr w:type="spellEnd"/>
            <w:r w:rsidRPr="00022C44">
              <w:rPr>
                <w:rFonts w:ascii="Arial" w:hAnsi="Arial" w:cs="Arial"/>
                <w:color w:val="000000" w:themeColor="text1"/>
              </w:rPr>
              <w:t xml:space="preserve"> </w:t>
            </w:r>
            <w:proofErr w:type="spellStart"/>
            <w:r w:rsidRPr="00022C44">
              <w:rPr>
                <w:rFonts w:ascii="Arial" w:hAnsi="Arial" w:cs="Arial"/>
                <w:color w:val="000000" w:themeColor="text1"/>
              </w:rPr>
              <w:t>Award</w:t>
            </w:r>
            <w:proofErr w:type="spellEnd"/>
            <w:r w:rsidRPr="00022C44">
              <w:rPr>
                <w:rFonts w:ascii="Arial" w:hAnsi="Arial" w:cs="Arial"/>
                <w:color w:val="000000" w:themeColor="text1"/>
              </w:rPr>
              <w:t xml:space="preserve"> Evropské společnosti pro dětskou endokrinologii (ESPE), </w:t>
            </w:r>
            <w:proofErr w:type="spellStart"/>
            <w:r w:rsidRPr="00022C44">
              <w:rPr>
                <w:rFonts w:ascii="Arial" w:hAnsi="Arial" w:cs="Arial"/>
                <w:color w:val="000000" w:themeColor="text1"/>
              </w:rPr>
              <w:t>Courtesy</w:t>
            </w:r>
            <w:proofErr w:type="spellEnd"/>
            <w:r w:rsidRPr="00022C44">
              <w:rPr>
                <w:rFonts w:ascii="Arial" w:hAnsi="Arial" w:cs="Arial"/>
                <w:color w:val="000000" w:themeColor="text1"/>
              </w:rPr>
              <w:t xml:space="preserve"> </w:t>
            </w:r>
            <w:proofErr w:type="spellStart"/>
            <w:r w:rsidRPr="00022C44">
              <w:rPr>
                <w:rFonts w:ascii="Arial" w:hAnsi="Arial" w:cs="Arial"/>
                <w:color w:val="000000" w:themeColor="text1"/>
              </w:rPr>
              <w:t>professor</w:t>
            </w:r>
            <w:proofErr w:type="spellEnd"/>
            <w:r w:rsidRPr="00022C44">
              <w:rPr>
                <w:rFonts w:ascii="Arial" w:hAnsi="Arial" w:cs="Arial"/>
                <w:color w:val="000000" w:themeColor="text1"/>
              </w:rPr>
              <w:t xml:space="preserve"> University </w:t>
            </w:r>
            <w:proofErr w:type="spellStart"/>
            <w:r w:rsidRPr="00022C44">
              <w:rPr>
                <w:rFonts w:ascii="Arial" w:hAnsi="Arial" w:cs="Arial"/>
                <w:color w:val="000000" w:themeColor="text1"/>
              </w:rPr>
              <w:t>of</w:t>
            </w:r>
            <w:proofErr w:type="spellEnd"/>
            <w:r w:rsidRPr="00022C44">
              <w:rPr>
                <w:rFonts w:ascii="Arial" w:hAnsi="Arial" w:cs="Arial"/>
                <w:color w:val="000000" w:themeColor="text1"/>
              </w:rPr>
              <w:t xml:space="preserve"> </w:t>
            </w:r>
            <w:proofErr w:type="spellStart"/>
            <w:r w:rsidRPr="00022C44">
              <w:rPr>
                <w:rFonts w:ascii="Arial" w:hAnsi="Arial" w:cs="Arial"/>
                <w:color w:val="000000" w:themeColor="text1"/>
              </w:rPr>
              <w:t>South</w:t>
            </w:r>
            <w:proofErr w:type="spellEnd"/>
            <w:r w:rsidRPr="00022C44">
              <w:rPr>
                <w:rFonts w:ascii="Arial" w:hAnsi="Arial" w:cs="Arial"/>
                <w:color w:val="000000" w:themeColor="text1"/>
              </w:rPr>
              <w:t xml:space="preserve"> Florida, </w:t>
            </w:r>
            <w:proofErr w:type="spellStart"/>
            <w:r w:rsidRPr="00022C44">
              <w:rPr>
                <w:rFonts w:ascii="Arial" w:hAnsi="Arial" w:cs="Arial"/>
              </w:rPr>
              <w:t>Lifetime</w:t>
            </w:r>
            <w:proofErr w:type="spellEnd"/>
            <w:r w:rsidRPr="00022C44">
              <w:rPr>
                <w:rFonts w:ascii="Arial" w:hAnsi="Arial" w:cs="Arial"/>
              </w:rPr>
              <w:t xml:space="preserve"> </w:t>
            </w:r>
            <w:proofErr w:type="spellStart"/>
            <w:r w:rsidRPr="00022C44">
              <w:rPr>
                <w:rFonts w:ascii="Arial" w:hAnsi="Arial" w:cs="Arial"/>
              </w:rPr>
              <w:t>achievement</w:t>
            </w:r>
            <w:proofErr w:type="spellEnd"/>
            <w:r w:rsidRPr="00022C44">
              <w:rPr>
                <w:rFonts w:ascii="Arial" w:hAnsi="Arial" w:cs="Arial"/>
              </w:rPr>
              <w:t xml:space="preserve"> </w:t>
            </w:r>
            <w:proofErr w:type="spellStart"/>
            <w:r w:rsidRPr="00022C44">
              <w:rPr>
                <w:rFonts w:ascii="Arial" w:hAnsi="Arial" w:cs="Arial"/>
              </w:rPr>
              <w:t>award</w:t>
            </w:r>
            <w:proofErr w:type="spellEnd"/>
            <w:r w:rsidRPr="00022C44">
              <w:rPr>
                <w:rFonts w:ascii="Arial" w:hAnsi="Arial" w:cs="Arial"/>
              </w:rPr>
              <w:t xml:space="preserve"> in </w:t>
            </w:r>
            <w:proofErr w:type="spellStart"/>
            <w:r w:rsidRPr="00022C44">
              <w:rPr>
                <w:rFonts w:ascii="Arial" w:hAnsi="Arial" w:cs="Arial"/>
              </w:rPr>
              <w:t>rare</w:t>
            </w:r>
            <w:proofErr w:type="spellEnd"/>
            <w:r w:rsidRPr="00022C44">
              <w:rPr>
                <w:rFonts w:ascii="Arial" w:hAnsi="Arial" w:cs="Arial"/>
              </w:rPr>
              <w:t xml:space="preserve"> </w:t>
            </w:r>
            <w:proofErr w:type="spellStart"/>
            <w:r w:rsidRPr="00022C44">
              <w:rPr>
                <w:rFonts w:ascii="Arial" w:hAnsi="Arial" w:cs="Arial"/>
              </w:rPr>
              <w:t>disease</w:t>
            </w:r>
            <w:proofErr w:type="spellEnd"/>
            <w:r w:rsidRPr="00022C44">
              <w:rPr>
                <w:rFonts w:ascii="Arial" w:hAnsi="Arial" w:cs="Arial"/>
              </w:rPr>
              <w:t xml:space="preserve"> EURORDIS, vyznamenání prezidenta České republiky za zásluhy o stát v oblasti vědy a další. </w:t>
            </w:r>
            <w:r w:rsidRPr="00022C44">
              <w:rPr>
                <w:rFonts w:ascii="Arial" w:hAnsi="Arial" w:cs="Arial"/>
                <w:color w:val="000000" w:themeColor="text1"/>
              </w:rPr>
              <w:t xml:space="preserve">Členství ve významných orgánech </w:t>
            </w:r>
            <w:proofErr w:type="spellStart"/>
            <w:r w:rsidRPr="00022C44">
              <w:rPr>
                <w:rFonts w:ascii="Arial" w:hAnsi="Arial" w:cs="Arial"/>
                <w:color w:val="000000" w:themeColor="text1"/>
              </w:rPr>
              <w:t>VaVaI</w:t>
            </w:r>
            <w:proofErr w:type="spellEnd"/>
            <w:r w:rsidRPr="00022C44">
              <w:rPr>
                <w:rFonts w:ascii="Arial" w:hAnsi="Arial" w:cs="Arial"/>
                <w:color w:val="000000" w:themeColor="text1"/>
              </w:rPr>
              <w:t xml:space="preserve"> je především v národních orgánech, ale existují i významné přesahy směrem k mezinárodním odborných společnostem. Pozitivně je třeba hodnotit vysoké a významné zapojení pracovníků VO do činnosti AZV ČR. </w:t>
            </w:r>
            <w:r w:rsidRPr="00022C44">
              <w:rPr>
                <w:rFonts w:ascii="Arial" w:hAnsi="Arial" w:cs="Arial"/>
                <w:color w:val="212121"/>
                <w:lang w:eastAsia="en-GB"/>
              </w:rPr>
              <w:t xml:space="preserve">Rozsah a kvalita aplikovaného výzkumu a také společenské a ekonomické dopady výsledků výzkumu jsou na vynikající úrovni (A) a VO s nimi umí pracovat způsobem, který naznačuje možnost dalšího rozvoje i v budoucnosti. </w:t>
            </w:r>
          </w:p>
          <w:p w14:paraId="17965B56" w14:textId="77777777" w:rsidR="00DA6CD1" w:rsidRDefault="00DA6CD1" w:rsidP="00255739">
            <w:pPr>
              <w:pBdr>
                <w:bottom w:val="single" w:sz="6" w:space="1" w:color="auto"/>
              </w:pBdr>
              <w:jc w:val="both"/>
              <w:rPr>
                <w:rFonts w:ascii="Arial" w:hAnsi="Arial" w:cs="Arial"/>
              </w:rPr>
            </w:pPr>
          </w:p>
          <w:p w14:paraId="1C617D7C" w14:textId="77777777" w:rsidR="00DA6CD1" w:rsidRDefault="00DA6CD1" w:rsidP="00255739">
            <w:pPr>
              <w:pBdr>
                <w:bottom w:val="single" w:sz="6" w:space="1" w:color="auto"/>
              </w:pBdr>
              <w:jc w:val="both"/>
              <w:rPr>
                <w:rFonts w:ascii="Arial" w:hAnsi="Arial" w:cs="Arial"/>
                <w:b/>
                <w:bCs/>
                <w:color w:val="212121"/>
                <w:szCs w:val="22"/>
                <w:lang w:eastAsia="en-GB"/>
              </w:rPr>
            </w:pPr>
            <w:r w:rsidRPr="009C3CAC">
              <w:rPr>
                <w:rFonts w:ascii="Arial" w:hAnsi="Arial" w:cs="Arial"/>
                <w:b/>
                <w:bCs/>
                <w:color w:val="212121"/>
                <w:szCs w:val="22"/>
                <w:lang w:eastAsia="en-GB"/>
              </w:rPr>
              <w:t>Závěr průběžného hodnocení modulu 3:</w:t>
            </w:r>
          </w:p>
          <w:p w14:paraId="6317C7C6" w14:textId="1E7980A7" w:rsidR="00DA6CD1" w:rsidRPr="009C3CAC" w:rsidRDefault="00DA6CD1" w:rsidP="00255739">
            <w:pPr>
              <w:pBdr>
                <w:bottom w:val="single" w:sz="6" w:space="1" w:color="auto"/>
              </w:pBdr>
              <w:jc w:val="both"/>
              <w:rPr>
                <w:rFonts w:ascii="Arial" w:hAnsi="Arial" w:cs="Arial"/>
                <w:b/>
                <w:bCs/>
                <w:color w:val="212121"/>
                <w:szCs w:val="22"/>
                <w:lang w:eastAsia="en-GB"/>
              </w:rPr>
            </w:pPr>
            <w:r>
              <w:rPr>
                <w:rFonts w:ascii="Arial" w:hAnsi="Arial" w:cs="Arial"/>
                <w:b/>
                <w:bCs/>
                <w:color w:val="212121"/>
                <w:szCs w:val="22"/>
                <w:lang w:eastAsia="en-GB"/>
              </w:rPr>
              <w:t>P</w:t>
            </w:r>
            <w:r w:rsidRPr="00F1333E">
              <w:rPr>
                <w:rFonts w:ascii="Arial" w:hAnsi="Arial" w:cs="Arial"/>
                <w:b/>
                <w:bCs/>
                <w:color w:val="212121"/>
                <w:szCs w:val="22"/>
                <w:lang w:eastAsia="en-GB"/>
              </w:rPr>
              <w:t xml:space="preserve">růběžné hodnocení </w:t>
            </w:r>
            <w:r>
              <w:rPr>
                <w:rFonts w:ascii="Arial" w:hAnsi="Arial" w:cs="Arial"/>
                <w:b/>
                <w:bCs/>
                <w:color w:val="212121"/>
                <w:szCs w:val="22"/>
                <w:lang w:eastAsia="en-GB"/>
              </w:rPr>
              <w:t xml:space="preserve">roku 2023 </w:t>
            </w:r>
            <w:r w:rsidRPr="00F1333E">
              <w:rPr>
                <w:rFonts w:ascii="Arial" w:hAnsi="Arial" w:cs="Arial"/>
                <w:b/>
                <w:bCs/>
                <w:color w:val="212121"/>
                <w:szCs w:val="22"/>
                <w:lang w:eastAsia="en-GB"/>
              </w:rPr>
              <w:t>odpovídá stavu v době škálování.</w:t>
            </w:r>
          </w:p>
          <w:p w14:paraId="2D378B75" w14:textId="77777777" w:rsidR="00DA6CD1" w:rsidRDefault="00DA6CD1" w:rsidP="00255739">
            <w:pPr>
              <w:pBdr>
                <w:bottom w:val="single" w:sz="6" w:space="1" w:color="auto"/>
              </w:pBdr>
              <w:jc w:val="both"/>
              <w:rPr>
                <w:rFonts w:ascii="Arial" w:hAnsi="Arial" w:cs="Arial"/>
              </w:rPr>
            </w:pPr>
          </w:p>
          <w:p w14:paraId="2E04C8FD" w14:textId="77777777" w:rsidR="00DA6CD1" w:rsidRDefault="00DA6CD1" w:rsidP="00255739">
            <w:pPr>
              <w:pBdr>
                <w:bottom w:val="single" w:sz="6" w:space="1" w:color="auto"/>
              </w:pBdr>
              <w:jc w:val="both"/>
              <w:rPr>
                <w:rFonts w:ascii="Arial" w:hAnsi="Arial" w:cs="Arial"/>
              </w:rPr>
            </w:pPr>
          </w:p>
          <w:p w14:paraId="648E5218" w14:textId="77777777" w:rsidR="00DA6CD1" w:rsidRPr="00022C44" w:rsidRDefault="00DA6CD1" w:rsidP="00255739">
            <w:pPr>
              <w:pBdr>
                <w:bottom w:val="single" w:sz="6" w:space="1" w:color="auto"/>
              </w:pBdr>
              <w:jc w:val="both"/>
              <w:rPr>
                <w:rFonts w:ascii="Arial" w:hAnsi="Arial" w:cs="Arial"/>
              </w:rPr>
            </w:pPr>
          </w:p>
          <w:p w14:paraId="49C17265" w14:textId="0B6AEBB5" w:rsidR="006F365C" w:rsidRPr="00B6624C" w:rsidRDefault="006F365C" w:rsidP="00255739">
            <w:pPr>
              <w:pStyle w:val="Zhlav"/>
              <w:jc w:val="both"/>
              <w:rPr>
                <w:rFonts w:ascii="Arial" w:hAnsi="Arial" w:cs="Arial"/>
                <w:szCs w:val="22"/>
              </w:rPr>
            </w:pPr>
          </w:p>
        </w:tc>
      </w:tr>
      <w:tr w:rsidR="00EA1722" w14:paraId="396C1AD6"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25F87ACE" w14:textId="77777777" w:rsidR="00EA1722" w:rsidRDefault="00EA1722" w:rsidP="00255739">
            <w:pPr>
              <w:pStyle w:val="Zhlav"/>
              <w:jc w:val="both"/>
              <w:rPr>
                <w:rFonts w:ascii="Arial" w:hAnsi="Arial" w:cs="Arial"/>
                <w:b/>
                <w:szCs w:val="22"/>
              </w:rPr>
            </w:pPr>
            <w:r w:rsidRPr="00DB5CDA">
              <w:rPr>
                <w:rFonts w:ascii="Arial" w:hAnsi="Arial" w:cs="Arial"/>
                <w:b/>
                <w:szCs w:val="22"/>
              </w:rPr>
              <w:t xml:space="preserve">Modul </w:t>
            </w:r>
            <w:r>
              <w:rPr>
                <w:rFonts w:ascii="Arial" w:hAnsi="Arial" w:cs="Arial"/>
                <w:b/>
                <w:szCs w:val="22"/>
              </w:rPr>
              <w:t>4</w:t>
            </w:r>
            <w:r w:rsidRPr="00DB5CDA">
              <w:rPr>
                <w:rFonts w:ascii="Arial" w:hAnsi="Arial" w:cs="Arial"/>
                <w:b/>
                <w:szCs w:val="22"/>
              </w:rPr>
              <w:t xml:space="preserve"> –</w:t>
            </w:r>
            <w:proofErr w:type="spellStart"/>
            <w:r>
              <w:rPr>
                <w:rFonts w:ascii="Arial" w:hAnsi="Arial" w:cs="Arial"/>
                <w:b/>
                <w:szCs w:val="22"/>
              </w:rPr>
              <w:t>Viabilita</w:t>
            </w:r>
            <w:proofErr w:type="spellEnd"/>
            <w:r w:rsidRPr="00DB5CDA">
              <w:rPr>
                <w:rFonts w:ascii="Arial" w:hAnsi="Arial" w:cs="Arial"/>
                <w:b/>
                <w:szCs w:val="22"/>
              </w:rPr>
              <w:t xml:space="preserve"> výzkumu</w:t>
            </w:r>
            <w:r>
              <w:rPr>
                <w:rFonts w:ascii="Arial" w:hAnsi="Arial" w:cs="Arial"/>
                <w:b/>
                <w:szCs w:val="22"/>
              </w:rPr>
              <w:t xml:space="preserve"> A</w:t>
            </w:r>
          </w:p>
          <w:p w14:paraId="488BFBB0" w14:textId="77777777" w:rsidR="00EA1722" w:rsidRDefault="00EA1722" w:rsidP="00255739">
            <w:pPr>
              <w:pStyle w:val="Zhlav"/>
              <w:jc w:val="both"/>
              <w:rPr>
                <w:rFonts w:ascii="Arial" w:hAnsi="Arial" w:cs="Arial"/>
                <w:b/>
                <w:szCs w:val="22"/>
              </w:rPr>
            </w:pPr>
          </w:p>
          <w:p w14:paraId="3D437A63" w14:textId="77777777" w:rsidR="00EA1722" w:rsidRDefault="00EA1722" w:rsidP="00255739">
            <w:pPr>
              <w:pStyle w:val="Zhlav"/>
              <w:jc w:val="both"/>
              <w:rPr>
                <w:rFonts w:ascii="Arial" w:hAnsi="Arial" w:cs="Arial"/>
                <w:b/>
                <w:szCs w:val="22"/>
              </w:rPr>
            </w:pPr>
          </w:p>
          <w:p w14:paraId="64D71488" w14:textId="67C18864" w:rsidR="00EA1722" w:rsidRPr="00DB5CDA" w:rsidRDefault="00EA1722" w:rsidP="00255739">
            <w:pPr>
              <w:pStyle w:val="Zhlav"/>
              <w:jc w:val="both"/>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4EF83035" w14:textId="7C1B7643" w:rsidR="00CA6DF5" w:rsidRPr="007929A2" w:rsidRDefault="00B76DBE" w:rsidP="00255739">
            <w:pPr>
              <w:pStyle w:val="Zkladntext1"/>
              <w:spacing w:after="0" w:line="240" w:lineRule="auto"/>
              <w:jc w:val="both"/>
              <w:rPr>
                <w:rFonts w:ascii="Arial" w:hAnsi="Arial" w:cs="Arial"/>
              </w:rPr>
            </w:pPr>
            <w:r>
              <w:rPr>
                <w:rFonts w:ascii="Arial" w:hAnsi="Arial" w:cs="Arial"/>
              </w:rPr>
              <w:t>Oblast</w:t>
            </w:r>
            <w:r w:rsidR="00CA6DF5" w:rsidRPr="007929A2">
              <w:rPr>
                <w:rFonts w:ascii="Arial" w:hAnsi="Arial" w:cs="Arial"/>
              </w:rPr>
              <w:t xml:space="preserve"> vědy a výzkumu je ve </w:t>
            </w:r>
            <w:r>
              <w:rPr>
                <w:rFonts w:ascii="Arial" w:hAnsi="Arial" w:cs="Arial"/>
              </w:rPr>
              <w:t>FNM</w:t>
            </w:r>
            <w:r w:rsidR="00CA6DF5" w:rsidRPr="007929A2">
              <w:rPr>
                <w:rFonts w:ascii="Arial" w:hAnsi="Arial" w:cs="Arial"/>
              </w:rPr>
              <w:t xml:space="preserve"> řízen</w:t>
            </w:r>
            <w:r>
              <w:rPr>
                <w:rFonts w:ascii="Arial" w:hAnsi="Arial" w:cs="Arial"/>
              </w:rPr>
              <w:t>a</w:t>
            </w:r>
            <w:r w:rsidR="00CA6DF5" w:rsidRPr="007929A2">
              <w:rPr>
                <w:rFonts w:ascii="Arial" w:hAnsi="Arial" w:cs="Arial"/>
              </w:rPr>
              <w:t xml:space="preserve"> Náměstkem pro vědu a výzkum. Útvar náměstka pro vědu a výzkum je součástí Organizačního řádu </w:t>
            </w:r>
            <w:r>
              <w:rPr>
                <w:rFonts w:ascii="Arial" w:hAnsi="Arial" w:cs="Arial"/>
              </w:rPr>
              <w:t>FNM</w:t>
            </w:r>
            <w:r w:rsidR="00CA6DF5" w:rsidRPr="007929A2">
              <w:rPr>
                <w:rFonts w:ascii="Arial" w:hAnsi="Arial" w:cs="Arial"/>
              </w:rPr>
              <w:t xml:space="preserve">. Pod struktury útvaru spadá sekretariát náměstka, který zajišťuje a koordinuje veškerou činnost a dále Ústav vědeckých informací jako společné pracoviště 2.LF UK a </w:t>
            </w:r>
            <w:r>
              <w:rPr>
                <w:rFonts w:ascii="Arial" w:hAnsi="Arial" w:cs="Arial"/>
              </w:rPr>
              <w:t>FNM</w:t>
            </w:r>
            <w:r w:rsidR="00CA6DF5" w:rsidRPr="007929A2">
              <w:rPr>
                <w:rFonts w:ascii="Arial" w:hAnsi="Arial" w:cs="Arial"/>
              </w:rPr>
              <w:t xml:space="preserve">. Náměstek pro vědu a výzkum je zároveň předsedou Vědecké rady, která je poradním </w:t>
            </w:r>
            <w:r w:rsidR="00CA6DF5" w:rsidRPr="007929A2">
              <w:rPr>
                <w:rFonts w:ascii="Arial" w:hAnsi="Arial" w:cs="Arial"/>
              </w:rPr>
              <w:lastRenderedPageBreak/>
              <w:t xml:space="preserve">orgánem ředitele nemocnice. Úsek vědy a výzkumu průběžně spolupracuje se všemi řídícími složkami Fakultní nemocnice a zajišťuje veškerou komplexní agendu spojenou s problematikou vědy a výzkumu průřezově celou nemocnicí.  Základní struktura řízení a podpory </w:t>
            </w:r>
            <w:proofErr w:type="spellStart"/>
            <w:r w:rsidR="00CA6DF5" w:rsidRPr="007929A2">
              <w:rPr>
                <w:rFonts w:ascii="Arial" w:hAnsi="Arial" w:cs="Arial"/>
              </w:rPr>
              <w:t>VaVaI</w:t>
            </w:r>
            <w:proofErr w:type="spellEnd"/>
            <w:r w:rsidR="00CA6DF5" w:rsidRPr="007929A2">
              <w:rPr>
                <w:rFonts w:ascii="Arial" w:hAnsi="Arial" w:cs="Arial"/>
              </w:rPr>
              <w:t xml:space="preserve"> ve </w:t>
            </w:r>
            <w:r>
              <w:rPr>
                <w:rFonts w:ascii="Arial" w:hAnsi="Arial" w:cs="Arial"/>
              </w:rPr>
              <w:t>FNM</w:t>
            </w:r>
            <w:r w:rsidR="00CA6DF5" w:rsidRPr="007929A2">
              <w:rPr>
                <w:rFonts w:ascii="Arial" w:hAnsi="Arial" w:cs="Arial"/>
              </w:rPr>
              <w:t xml:space="preserve"> představuje typický model využívaný ve VO </w:t>
            </w:r>
            <w:proofErr w:type="spellStart"/>
            <w:r w:rsidR="00CA6DF5" w:rsidRPr="007929A2">
              <w:rPr>
                <w:rFonts w:ascii="Arial" w:hAnsi="Arial" w:cs="Arial"/>
              </w:rPr>
              <w:t>MZd</w:t>
            </w:r>
            <w:proofErr w:type="spellEnd"/>
            <w:r w:rsidR="00CA6DF5" w:rsidRPr="007929A2">
              <w:rPr>
                <w:rFonts w:ascii="Arial" w:hAnsi="Arial" w:cs="Arial"/>
              </w:rPr>
              <w:t xml:space="preserve">. </w:t>
            </w:r>
          </w:p>
          <w:p w14:paraId="225E4D9A" w14:textId="69466826" w:rsidR="00CA6DF5" w:rsidRPr="007929A2" w:rsidRDefault="00CA6DF5" w:rsidP="00255739">
            <w:pPr>
              <w:jc w:val="both"/>
              <w:rPr>
                <w:rFonts w:ascii="Arial" w:hAnsi="Arial" w:cs="Arial"/>
                <w:color w:val="000000" w:themeColor="text1"/>
                <w:szCs w:val="22"/>
              </w:rPr>
            </w:pPr>
            <w:r w:rsidRPr="007929A2">
              <w:rPr>
                <w:rFonts w:ascii="Arial" w:hAnsi="Arial" w:cs="Arial"/>
                <w:szCs w:val="22"/>
              </w:rPr>
              <w:t>Prostředky DKRVO jsou distribuovány přibližně v následující struktuře: 34% personální náklady, 38% spotřební materiál a 21% rozvoj infrastruktury-investic</w:t>
            </w:r>
            <w:r w:rsidR="00B76DBE">
              <w:rPr>
                <w:rFonts w:ascii="Arial" w:hAnsi="Arial" w:cs="Arial"/>
                <w:szCs w:val="22"/>
              </w:rPr>
              <w:t>e</w:t>
            </w:r>
            <w:r w:rsidRPr="007929A2">
              <w:rPr>
                <w:rFonts w:ascii="Arial" w:hAnsi="Arial" w:cs="Arial"/>
                <w:szCs w:val="22"/>
              </w:rPr>
              <w:t xml:space="preserve">. Příjmy z účelové podpory byly v hodnocením období </w:t>
            </w:r>
            <w:proofErr w:type="gramStart"/>
            <w:r w:rsidRPr="007929A2">
              <w:rPr>
                <w:rFonts w:ascii="Arial" w:hAnsi="Arial" w:cs="Arial"/>
                <w:szCs w:val="22"/>
              </w:rPr>
              <w:t>44%</w:t>
            </w:r>
            <w:proofErr w:type="gramEnd"/>
            <w:r w:rsidRPr="007929A2">
              <w:rPr>
                <w:rFonts w:ascii="Arial" w:hAnsi="Arial" w:cs="Arial"/>
                <w:szCs w:val="22"/>
              </w:rPr>
              <w:t>, DKRVO činila celkem 55%</w:t>
            </w:r>
            <w:r>
              <w:rPr>
                <w:rFonts w:ascii="Arial" w:hAnsi="Arial" w:cs="Arial"/>
                <w:szCs w:val="22"/>
              </w:rPr>
              <w:t xml:space="preserve">. </w:t>
            </w:r>
            <w:r w:rsidRPr="007929A2">
              <w:rPr>
                <w:rFonts w:ascii="Arial" w:hAnsi="Arial" w:cs="Arial"/>
                <w:szCs w:val="22"/>
              </w:rPr>
              <w:t xml:space="preserve">VO </w:t>
            </w:r>
            <w:r>
              <w:rPr>
                <w:rFonts w:ascii="Arial" w:hAnsi="Arial" w:cs="Arial"/>
                <w:szCs w:val="22"/>
              </w:rPr>
              <w:t>o</w:t>
            </w:r>
            <w:r w:rsidRPr="007929A2">
              <w:rPr>
                <w:rFonts w:ascii="Arial" w:hAnsi="Arial" w:cs="Arial"/>
                <w:szCs w:val="22"/>
              </w:rPr>
              <w:t xml:space="preserve">čekává nárůst v kapitole darů, pravděpodobně díky vybudovaní nového Vědeckého a diagnostického centra Petra Kelnera. </w:t>
            </w:r>
            <w:r w:rsidRPr="007929A2">
              <w:rPr>
                <w:rFonts w:ascii="Arial" w:hAnsi="Arial" w:cs="Arial"/>
                <w:color w:val="000000" w:themeColor="text1"/>
                <w:szCs w:val="22"/>
              </w:rPr>
              <w:t xml:space="preserve">Za dobrou praxi lze jednoznačně považovat část zisků z komerčních KHLP alokovat na podporu </w:t>
            </w:r>
            <w:r w:rsidR="000D1516">
              <w:rPr>
                <w:rFonts w:ascii="Arial" w:hAnsi="Arial" w:cs="Arial"/>
                <w:color w:val="000000" w:themeColor="text1"/>
                <w:szCs w:val="22"/>
              </w:rPr>
              <w:t xml:space="preserve">nekomerčních </w:t>
            </w:r>
            <w:r w:rsidRPr="007929A2">
              <w:rPr>
                <w:rFonts w:ascii="Arial" w:hAnsi="Arial" w:cs="Arial"/>
                <w:color w:val="000000" w:themeColor="text1"/>
                <w:szCs w:val="22"/>
              </w:rPr>
              <w:t>KHL</w:t>
            </w:r>
            <w:r w:rsidR="000D1516">
              <w:rPr>
                <w:rFonts w:ascii="Arial" w:hAnsi="Arial" w:cs="Arial"/>
                <w:color w:val="000000" w:themeColor="text1"/>
                <w:szCs w:val="22"/>
              </w:rPr>
              <w:t>P</w:t>
            </w:r>
            <w:r w:rsidRPr="007929A2">
              <w:rPr>
                <w:rFonts w:ascii="Arial" w:hAnsi="Arial" w:cs="Arial"/>
                <w:color w:val="000000" w:themeColor="text1"/>
                <w:szCs w:val="22"/>
              </w:rPr>
              <w:t>, není uvedeno, zda VO tento princip uplatňuje.</w:t>
            </w:r>
          </w:p>
          <w:p w14:paraId="16D3D973" w14:textId="4A549D42" w:rsidR="00CA6DF5" w:rsidRPr="007929A2" w:rsidRDefault="00C23DA8" w:rsidP="00255739">
            <w:pPr>
              <w:jc w:val="both"/>
              <w:rPr>
                <w:rFonts w:ascii="Arial" w:hAnsi="Arial" w:cs="Arial"/>
                <w:szCs w:val="22"/>
              </w:rPr>
            </w:pPr>
            <w:r>
              <w:rPr>
                <w:rFonts w:ascii="Arial" w:hAnsi="Arial" w:cs="Arial"/>
                <w:szCs w:val="22"/>
              </w:rPr>
              <w:t>FNM</w:t>
            </w:r>
            <w:r w:rsidR="00CA6DF5" w:rsidRPr="007929A2">
              <w:rPr>
                <w:rFonts w:ascii="Arial" w:hAnsi="Arial" w:cs="Arial"/>
                <w:szCs w:val="22"/>
              </w:rPr>
              <w:t xml:space="preserve"> podporuje průřezově celou nemocnicí výzkumnou činnost svých zaměstnanců, a správně uvádí, že přesné a striktní oddělení klinické a čistě výzkumné práce není v lékařských vědách možné. K posílení personálního zabezpečení výzkumných aktivit organizuje </w:t>
            </w:r>
            <w:r w:rsidR="00CA6DF5">
              <w:rPr>
                <w:rFonts w:ascii="Arial" w:hAnsi="Arial" w:cs="Arial"/>
                <w:szCs w:val="22"/>
              </w:rPr>
              <w:t>FNM</w:t>
            </w:r>
            <w:r w:rsidR="00CA6DF5" w:rsidRPr="007929A2">
              <w:rPr>
                <w:rFonts w:ascii="Arial" w:hAnsi="Arial" w:cs="Arial"/>
                <w:szCs w:val="22"/>
              </w:rPr>
              <w:t xml:space="preserve"> dlouhodobě program MD, PhD, do kterého vstupují lékaři připravující se souběžně na výkon povolání v přípravě na atestace v oboru a zároveň ve studiu PhD. Program je organizován jako společný s 1. a 2. lékařskou fakultou a je velkým přínosem pro vědeckou činnost celé fakultní nemocnice. Tento program je v ČR unikátní a je třeba ho hodnotit jednoznačně pozitivně. </w:t>
            </w:r>
            <w:r w:rsidR="00CA6DF5">
              <w:rPr>
                <w:rFonts w:ascii="Arial" w:hAnsi="Arial" w:cs="Arial"/>
                <w:szCs w:val="22"/>
              </w:rPr>
              <w:t>FNM</w:t>
            </w:r>
            <w:r w:rsidR="00CA6DF5" w:rsidRPr="007929A2">
              <w:rPr>
                <w:rFonts w:ascii="Arial" w:hAnsi="Arial" w:cs="Arial"/>
                <w:szCs w:val="22"/>
              </w:rPr>
              <w:t xml:space="preserve"> sleduje moderní trendy v politice zaměstnanosti a v oblasti genderové rovnosti. </w:t>
            </w:r>
            <w:r w:rsidR="00563DBF">
              <w:rPr>
                <w:rFonts w:ascii="Arial" w:hAnsi="Arial" w:cs="Arial"/>
                <w:szCs w:val="22"/>
              </w:rPr>
              <w:t>FNM</w:t>
            </w:r>
            <w:r w:rsidR="00CA6DF5" w:rsidRPr="007929A2">
              <w:rPr>
                <w:rFonts w:ascii="Arial" w:hAnsi="Arial" w:cs="Arial"/>
                <w:szCs w:val="22"/>
              </w:rPr>
              <w:t xml:space="preserve"> má vypracov</w:t>
            </w:r>
            <w:r w:rsidR="00563DBF">
              <w:rPr>
                <w:rFonts w:ascii="Arial" w:hAnsi="Arial" w:cs="Arial"/>
                <w:szCs w:val="22"/>
              </w:rPr>
              <w:t>a</w:t>
            </w:r>
            <w:r w:rsidR="00CA6DF5" w:rsidRPr="007929A2">
              <w:rPr>
                <w:rFonts w:ascii="Arial" w:hAnsi="Arial" w:cs="Arial"/>
                <w:szCs w:val="22"/>
              </w:rPr>
              <w:t>n</w:t>
            </w:r>
            <w:r w:rsidR="00563DBF">
              <w:rPr>
                <w:rFonts w:ascii="Arial" w:hAnsi="Arial" w:cs="Arial"/>
                <w:szCs w:val="22"/>
              </w:rPr>
              <w:t>ý</w:t>
            </w:r>
            <w:r w:rsidR="00CA6DF5" w:rsidRPr="007929A2">
              <w:rPr>
                <w:rFonts w:ascii="Arial" w:hAnsi="Arial" w:cs="Arial"/>
                <w:szCs w:val="22"/>
              </w:rPr>
              <w:t xml:space="preserve"> </w:t>
            </w:r>
            <w:r w:rsidR="00563DBF">
              <w:rPr>
                <w:rFonts w:ascii="Arial" w:hAnsi="Arial" w:cs="Arial"/>
                <w:szCs w:val="22"/>
              </w:rPr>
              <w:t>P</w:t>
            </w:r>
            <w:r w:rsidR="00CA6DF5" w:rsidRPr="007929A2">
              <w:rPr>
                <w:rFonts w:ascii="Arial" w:hAnsi="Arial" w:cs="Arial"/>
                <w:szCs w:val="22"/>
              </w:rPr>
              <w:t xml:space="preserve">lán genderové rovnosti GEP a vytváří rovné podmínky pro všechny pracovníky ve vědě a výzkumu. Do budoucna by VO organizaci měla zvážit také certifikaci HR </w:t>
            </w:r>
            <w:proofErr w:type="spellStart"/>
            <w:r w:rsidR="00CA6DF5" w:rsidRPr="007929A2">
              <w:rPr>
                <w:rFonts w:ascii="Arial" w:hAnsi="Arial" w:cs="Arial"/>
                <w:szCs w:val="22"/>
              </w:rPr>
              <w:t>Award</w:t>
            </w:r>
            <w:proofErr w:type="spellEnd"/>
            <w:r w:rsidR="00CA6DF5" w:rsidRPr="007929A2">
              <w:rPr>
                <w:rFonts w:ascii="Arial" w:hAnsi="Arial" w:cs="Arial"/>
                <w:szCs w:val="22"/>
              </w:rPr>
              <w:t xml:space="preserve">, tj. HR Excellence in </w:t>
            </w:r>
            <w:proofErr w:type="spellStart"/>
            <w:r w:rsidR="00CA6DF5" w:rsidRPr="007929A2">
              <w:rPr>
                <w:rFonts w:ascii="Arial" w:hAnsi="Arial" w:cs="Arial"/>
                <w:szCs w:val="22"/>
              </w:rPr>
              <w:t>Research</w:t>
            </w:r>
            <w:proofErr w:type="spellEnd"/>
            <w:r w:rsidR="00CA6DF5" w:rsidRPr="007929A2">
              <w:rPr>
                <w:rFonts w:ascii="Arial" w:hAnsi="Arial" w:cs="Arial"/>
                <w:szCs w:val="22"/>
              </w:rPr>
              <w:t>. Ve VO pracuje celkem 20 vedoucích výzkumných pracovníků z toho 9 žen, počet výzkumných pracovníků</w:t>
            </w:r>
            <w:r w:rsidR="00563DBF">
              <w:rPr>
                <w:rFonts w:ascii="Arial" w:hAnsi="Arial" w:cs="Arial"/>
                <w:szCs w:val="22"/>
              </w:rPr>
              <w:t xml:space="preserve"> (FTE)</w:t>
            </w:r>
            <w:r w:rsidR="00CA6DF5" w:rsidRPr="007929A2">
              <w:rPr>
                <w:rFonts w:ascii="Arial" w:hAnsi="Arial" w:cs="Arial"/>
                <w:szCs w:val="22"/>
              </w:rPr>
              <w:t xml:space="preserve"> na počátku hodnoceného období je 32, v roce 2022 potom 31, počet PhD studentů lehce vzrostl z 85 na 88, což je pozitivní trend. </w:t>
            </w:r>
          </w:p>
          <w:p w14:paraId="5849D5B6" w14:textId="1DF2F72D" w:rsidR="00CA6DF5" w:rsidRPr="007929A2" w:rsidRDefault="00CA6DF5" w:rsidP="00255739">
            <w:pPr>
              <w:jc w:val="both"/>
              <w:rPr>
                <w:rFonts w:ascii="Arial" w:hAnsi="Arial" w:cs="Arial"/>
                <w:szCs w:val="22"/>
              </w:rPr>
            </w:pPr>
            <w:r w:rsidRPr="007929A2">
              <w:rPr>
                <w:rFonts w:ascii="Arial" w:hAnsi="Arial" w:cs="Arial"/>
                <w:szCs w:val="22"/>
              </w:rPr>
              <w:t xml:space="preserve">Výzkumná infrastruktura </w:t>
            </w:r>
            <w:r>
              <w:rPr>
                <w:rFonts w:ascii="Arial" w:hAnsi="Arial" w:cs="Arial"/>
                <w:szCs w:val="22"/>
              </w:rPr>
              <w:t>FNM</w:t>
            </w:r>
            <w:r w:rsidRPr="007929A2">
              <w:rPr>
                <w:rFonts w:ascii="Arial" w:hAnsi="Arial" w:cs="Arial"/>
                <w:szCs w:val="22"/>
              </w:rPr>
              <w:t xml:space="preserve"> odpovídá potřebám jednotlivých výzkumných tymů a je průběžně obnovována. VO je velice úspěšná v získávání rozvojových projektů</w:t>
            </w:r>
            <w:r w:rsidR="00563DBF">
              <w:rPr>
                <w:rFonts w:ascii="Arial" w:hAnsi="Arial" w:cs="Arial"/>
                <w:szCs w:val="22"/>
              </w:rPr>
              <w:t xml:space="preserve"> typu</w:t>
            </w:r>
            <w:r w:rsidRPr="007929A2">
              <w:rPr>
                <w:rFonts w:ascii="Arial" w:hAnsi="Arial" w:cs="Arial"/>
                <w:szCs w:val="22"/>
              </w:rPr>
              <w:t xml:space="preserve"> TAČR apod., které umožňují </w:t>
            </w:r>
            <w:r w:rsidR="00563DBF">
              <w:rPr>
                <w:rFonts w:ascii="Arial" w:hAnsi="Arial" w:cs="Arial"/>
                <w:szCs w:val="22"/>
              </w:rPr>
              <w:t xml:space="preserve">její </w:t>
            </w:r>
            <w:r w:rsidRPr="007929A2">
              <w:rPr>
                <w:rFonts w:ascii="Arial" w:hAnsi="Arial" w:cs="Arial"/>
                <w:szCs w:val="22"/>
              </w:rPr>
              <w:t>infrastrukturní rozvoj. Pokud bude</w:t>
            </w:r>
            <w:r w:rsidR="00563DBF">
              <w:rPr>
                <w:rFonts w:ascii="Arial" w:hAnsi="Arial" w:cs="Arial"/>
                <w:szCs w:val="22"/>
              </w:rPr>
              <w:t xml:space="preserve"> VO</w:t>
            </w:r>
            <w:r w:rsidRPr="007929A2">
              <w:rPr>
                <w:rFonts w:ascii="Arial" w:hAnsi="Arial" w:cs="Arial"/>
                <w:szCs w:val="22"/>
              </w:rPr>
              <w:t xml:space="preserve"> v této činnosti pokračovat kvalita infrastrukturního zázemí potřebného pro moderní biomedicínský výzkum by měla být zajištěna. </w:t>
            </w:r>
            <w:r w:rsidRPr="007929A2">
              <w:rPr>
                <w:rFonts w:ascii="Arial" w:hAnsi="Arial" w:cs="Arial"/>
                <w:color w:val="000000" w:themeColor="text1"/>
                <w:szCs w:val="22"/>
              </w:rPr>
              <w:t xml:space="preserve">Současně ovšem VO neuvádí žádnou metodiku, kterou by monitorovala infrastrukturní potřeby jednotlivých pracovišť/výzkumných týmů pro jejich výzkumnou činnost a potažmo metodiku jejich prioritizace pro realizaci investičních záměrů. </w:t>
            </w:r>
          </w:p>
          <w:p w14:paraId="23988527" w14:textId="6ABC5E9C" w:rsidR="00CA6DF5" w:rsidRPr="007929A2" w:rsidRDefault="00CA6DF5" w:rsidP="00255739">
            <w:pPr>
              <w:jc w:val="both"/>
              <w:rPr>
                <w:rFonts w:ascii="Arial" w:hAnsi="Arial" w:cs="Arial"/>
                <w:szCs w:val="22"/>
              </w:rPr>
            </w:pPr>
            <w:r w:rsidRPr="007929A2">
              <w:rPr>
                <w:rFonts w:ascii="Arial" w:hAnsi="Arial" w:cs="Arial"/>
                <w:szCs w:val="22"/>
              </w:rPr>
              <w:t xml:space="preserve">Spolupráce s českými i zahraničními partnery je dostatečná a je řádně doložena společnými projekty včetně jasného vymezení role VO v těchto projektech. VO se aktivně zapojuje rovněž do společných projektů s českou státní správou a relevantními mezinárodními organizacemi (WHO, UNICEF, </w:t>
            </w:r>
            <w:proofErr w:type="gramStart"/>
            <w:r w:rsidRPr="007929A2">
              <w:rPr>
                <w:rFonts w:ascii="Arial" w:hAnsi="Arial" w:cs="Arial"/>
                <w:szCs w:val="22"/>
              </w:rPr>
              <w:t>OECD,</w:t>
            </w:r>
            <w:proofErr w:type="gramEnd"/>
            <w:r w:rsidRPr="007929A2">
              <w:rPr>
                <w:rFonts w:ascii="Arial" w:hAnsi="Arial" w:cs="Arial"/>
                <w:szCs w:val="22"/>
              </w:rPr>
              <w:t xml:space="preserve"> apod.), což je doloženo přiloženými přehledy. Výzkumníci </w:t>
            </w:r>
            <w:r w:rsidR="00563DBF">
              <w:rPr>
                <w:rFonts w:ascii="Arial" w:hAnsi="Arial" w:cs="Arial"/>
                <w:szCs w:val="22"/>
              </w:rPr>
              <w:t>FNM</w:t>
            </w:r>
            <w:r w:rsidRPr="007929A2">
              <w:rPr>
                <w:rFonts w:ascii="Arial" w:hAnsi="Arial" w:cs="Arial"/>
                <w:szCs w:val="22"/>
              </w:rPr>
              <w:t xml:space="preserve"> jsou velice aktivní v oblasti nekomerčních klinických hodnocení, přičemž v některých oblastech se řadí mezi světovou špičku, např. </w:t>
            </w:r>
            <w:r w:rsidR="00563DBF">
              <w:rPr>
                <w:rFonts w:ascii="Arial" w:hAnsi="Arial" w:cs="Arial"/>
                <w:szCs w:val="22"/>
              </w:rPr>
              <w:t xml:space="preserve">v oblasti </w:t>
            </w:r>
            <w:r w:rsidRPr="007929A2">
              <w:rPr>
                <w:rFonts w:ascii="Arial" w:hAnsi="Arial" w:cs="Arial"/>
                <w:szCs w:val="22"/>
              </w:rPr>
              <w:t>dětsk</w:t>
            </w:r>
            <w:r w:rsidR="00563DBF">
              <w:rPr>
                <w:rFonts w:ascii="Arial" w:hAnsi="Arial" w:cs="Arial"/>
                <w:szCs w:val="22"/>
              </w:rPr>
              <w:t xml:space="preserve">é </w:t>
            </w:r>
            <w:proofErr w:type="spellStart"/>
            <w:r w:rsidRPr="007929A2">
              <w:rPr>
                <w:rFonts w:ascii="Arial" w:hAnsi="Arial" w:cs="Arial"/>
                <w:szCs w:val="22"/>
              </w:rPr>
              <w:t>hematoonkologie</w:t>
            </w:r>
            <w:proofErr w:type="spellEnd"/>
            <w:r w:rsidRPr="007929A2">
              <w:rPr>
                <w:rFonts w:ascii="Arial" w:hAnsi="Arial" w:cs="Arial"/>
                <w:szCs w:val="22"/>
              </w:rPr>
              <w:t>.</w:t>
            </w:r>
          </w:p>
          <w:p w14:paraId="2D39016F" w14:textId="2C2F7758" w:rsidR="00CA6DF5" w:rsidRPr="007929A2" w:rsidRDefault="00CA6DF5" w:rsidP="00255739">
            <w:pPr>
              <w:jc w:val="both"/>
              <w:rPr>
                <w:rFonts w:ascii="Arial" w:hAnsi="Arial" w:cs="Arial"/>
                <w:szCs w:val="22"/>
              </w:rPr>
            </w:pPr>
            <w:r w:rsidRPr="007929A2">
              <w:rPr>
                <w:rFonts w:ascii="Arial" w:hAnsi="Arial" w:cs="Arial"/>
                <w:szCs w:val="22"/>
              </w:rPr>
              <w:t xml:space="preserve">Mobilita výzkumných pracovníků, ať již ve smyslu příjezdů (celkem 46) nebo výjezdů (celkem 35) byla při srovnání s VO </w:t>
            </w:r>
            <w:proofErr w:type="spellStart"/>
            <w:r w:rsidRPr="007929A2">
              <w:rPr>
                <w:rFonts w:ascii="Arial" w:hAnsi="Arial" w:cs="Arial"/>
                <w:szCs w:val="22"/>
              </w:rPr>
              <w:t>MZd</w:t>
            </w:r>
            <w:proofErr w:type="spellEnd"/>
            <w:r w:rsidRPr="007929A2">
              <w:rPr>
                <w:rFonts w:ascii="Arial" w:hAnsi="Arial" w:cs="Arial"/>
                <w:szCs w:val="22"/>
              </w:rPr>
              <w:t xml:space="preserve"> dobrá, ale jak VO uvádí v hodnocením období bylo jistě poznamenáno pandemickou situaci. VO uvádí, že v programu MD, PhD je pobyt v zahraničí důrazně doporučován všem </w:t>
            </w:r>
            <w:r w:rsidR="00316023">
              <w:rPr>
                <w:rFonts w:ascii="Arial" w:hAnsi="Arial" w:cs="Arial"/>
                <w:szCs w:val="22"/>
              </w:rPr>
              <w:t>studentům</w:t>
            </w:r>
            <w:r w:rsidRPr="007929A2">
              <w:rPr>
                <w:rFonts w:ascii="Arial" w:hAnsi="Arial" w:cs="Arial"/>
                <w:szCs w:val="22"/>
              </w:rPr>
              <w:t xml:space="preserve">. </w:t>
            </w:r>
            <w:r w:rsidR="00316023">
              <w:rPr>
                <w:rFonts w:ascii="Arial" w:hAnsi="Arial" w:cs="Arial"/>
                <w:szCs w:val="22"/>
              </w:rPr>
              <w:t>FNM</w:t>
            </w:r>
            <w:r w:rsidRPr="007929A2">
              <w:rPr>
                <w:rFonts w:ascii="Arial" w:hAnsi="Arial" w:cs="Arial"/>
                <w:szCs w:val="22"/>
              </w:rPr>
              <w:t xml:space="preserve"> potom individuálně řeší pracovně-právní otázky spojené s absencí na pracovišti </w:t>
            </w:r>
            <w:r w:rsidR="00316023">
              <w:rPr>
                <w:rFonts w:ascii="Arial" w:hAnsi="Arial" w:cs="Arial"/>
                <w:szCs w:val="22"/>
              </w:rPr>
              <w:t>v souvislosti</w:t>
            </w:r>
            <w:r w:rsidRPr="007929A2">
              <w:rPr>
                <w:rFonts w:ascii="Arial" w:hAnsi="Arial" w:cs="Arial"/>
                <w:szCs w:val="22"/>
              </w:rPr>
              <w:t xml:space="preserve"> s </w:t>
            </w:r>
            <w:r w:rsidRPr="007929A2">
              <w:rPr>
                <w:rFonts w:ascii="Arial" w:hAnsi="Arial" w:cs="Arial"/>
                <w:szCs w:val="22"/>
              </w:rPr>
              <w:lastRenderedPageBreak/>
              <w:t xml:space="preserve">pobytem v zahraničí a snaží se takové pobyty podporovat s výhledem přínosu pro nemocnici do budoucna.  Podobná situace je ve většině VO </w:t>
            </w:r>
            <w:proofErr w:type="spellStart"/>
            <w:r w:rsidRPr="007929A2">
              <w:rPr>
                <w:rFonts w:ascii="Arial" w:hAnsi="Arial" w:cs="Arial"/>
                <w:szCs w:val="22"/>
              </w:rPr>
              <w:t>MZd</w:t>
            </w:r>
            <w:proofErr w:type="spellEnd"/>
            <w:r w:rsidRPr="007929A2">
              <w:rPr>
                <w:rFonts w:ascii="Arial" w:hAnsi="Arial" w:cs="Arial"/>
                <w:szCs w:val="22"/>
              </w:rPr>
              <w:t xml:space="preserve">. Nicméně není dostatečně detailně popsáno, jakou strategii VO má, aby v této oblasti došlo ke zlepšení. </w:t>
            </w:r>
          </w:p>
          <w:p w14:paraId="7EF8D81C" w14:textId="08362C22" w:rsidR="00CA6DF5" w:rsidRPr="007929A2" w:rsidRDefault="00CA6DF5" w:rsidP="00255739">
            <w:pPr>
              <w:pStyle w:val="Zkladntext1"/>
              <w:spacing w:after="0" w:line="240" w:lineRule="auto"/>
              <w:jc w:val="both"/>
              <w:rPr>
                <w:rFonts w:ascii="Arial" w:hAnsi="Arial" w:cs="Arial"/>
              </w:rPr>
            </w:pPr>
            <w:r w:rsidRPr="007929A2">
              <w:rPr>
                <w:rFonts w:ascii="Arial" w:hAnsi="Arial" w:cs="Arial"/>
              </w:rPr>
              <w:t xml:space="preserve">VO má spolupráci především s technickými vysokými školami jako je ČVUT a dalšími, dále s pracovišti Akademie věd, jako je UOCHB, se kterým na smluvním základě řeší i transfer technologií, a dále i se soukromými firmami, například spolupráce </w:t>
            </w:r>
            <w:r w:rsidR="00316023">
              <w:rPr>
                <w:rFonts w:ascii="Arial" w:hAnsi="Arial" w:cs="Arial"/>
              </w:rPr>
              <w:t>na</w:t>
            </w:r>
            <w:r w:rsidRPr="007929A2">
              <w:rPr>
                <w:rFonts w:ascii="Arial" w:hAnsi="Arial" w:cs="Arial"/>
              </w:rPr>
              <w:t xml:space="preserve"> vývoji nástrojů </w:t>
            </w:r>
            <w:r w:rsidR="00316023">
              <w:rPr>
                <w:rFonts w:ascii="Arial" w:hAnsi="Arial" w:cs="Arial"/>
              </w:rPr>
              <w:t>k</w:t>
            </w:r>
            <w:r w:rsidRPr="007929A2">
              <w:rPr>
                <w:rFonts w:ascii="Arial" w:hAnsi="Arial" w:cs="Arial"/>
              </w:rPr>
              <w:t xml:space="preserve"> monitorování diabetu. Spolupráce s aplikační sférou je předmětem schválení a posouzení Vědeckou radou FNM. Skrze rozsah potenciálně </w:t>
            </w:r>
            <w:proofErr w:type="spellStart"/>
            <w:r w:rsidR="00316023">
              <w:rPr>
                <w:rFonts w:ascii="Arial" w:hAnsi="Arial" w:cs="Arial"/>
              </w:rPr>
              <w:t>transferovatelných</w:t>
            </w:r>
            <w:proofErr w:type="spellEnd"/>
            <w:r w:rsidRPr="007929A2">
              <w:rPr>
                <w:rFonts w:ascii="Arial" w:hAnsi="Arial" w:cs="Arial"/>
              </w:rPr>
              <w:t xml:space="preserve"> výsledků výzkumu lze doporučit zřízení Rady pro komercializaci, která nejenže bude vyhodnocovat potenciál, ale poskytne i strategické rady v dané oblasti, vhodná by jistě byla např. účast VO na konferencích a veletrzích zaměřených na transfer v ČR i </w:t>
            </w:r>
            <w:proofErr w:type="gramStart"/>
            <w:r w:rsidRPr="007929A2">
              <w:rPr>
                <w:rFonts w:ascii="Arial" w:hAnsi="Arial" w:cs="Arial"/>
              </w:rPr>
              <w:t>zahraničí,</w:t>
            </w:r>
            <w:proofErr w:type="gramEnd"/>
            <w:r w:rsidRPr="007929A2">
              <w:rPr>
                <w:rFonts w:ascii="Arial" w:hAnsi="Arial" w:cs="Arial"/>
              </w:rPr>
              <w:t xml:space="preserve"> apod.  Celkově lze hodnotit, že aktivity </w:t>
            </w:r>
            <w:r w:rsidR="00316023">
              <w:rPr>
                <w:rFonts w:ascii="Arial" w:hAnsi="Arial" w:cs="Arial"/>
              </w:rPr>
              <w:t>FNM</w:t>
            </w:r>
            <w:r w:rsidRPr="007929A2">
              <w:rPr>
                <w:rFonts w:ascii="Arial" w:hAnsi="Arial" w:cs="Arial"/>
              </w:rPr>
              <w:t xml:space="preserve"> jsou v této oblasti velice strukturované a dosahují velice dobré kvality.</w:t>
            </w:r>
          </w:p>
          <w:p w14:paraId="2B87B3BE" w14:textId="06D4C5E4" w:rsidR="00CA6DF5" w:rsidRPr="007929A2" w:rsidRDefault="00CA6DF5" w:rsidP="00255739">
            <w:pPr>
              <w:pStyle w:val="Zkladntext1"/>
              <w:spacing w:after="0" w:line="240" w:lineRule="auto"/>
              <w:jc w:val="both"/>
              <w:rPr>
                <w:rFonts w:ascii="Arial" w:hAnsi="Arial" w:cs="Arial"/>
              </w:rPr>
            </w:pPr>
            <w:r w:rsidRPr="007929A2">
              <w:rPr>
                <w:rFonts w:ascii="Arial" w:hAnsi="Arial" w:cs="Arial"/>
              </w:rPr>
              <w:t xml:space="preserve">Výzkumné projekty se ve </w:t>
            </w:r>
            <w:r w:rsidR="00316023">
              <w:rPr>
                <w:rFonts w:ascii="Arial" w:hAnsi="Arial" w:cs="Arial"/>
              </w:rPr>
              <w:t>FNM</w:t>
            </w:r>
            <w:r w:rsidRPr="007929A2">
              <w:rPr>
                <w:rFonts w:ascii="Arial" w:hAnsi="Arial" w:cs="Arial"/>
              </w:rPr>
              <w:t xml:space="preserve"> řeší podle rámce vymezeného příslušnou směrnicí. Všechny projekty mají vyjádření Etické komise již ve svých požadavcích na projektovou dokumentaci. Všechny projekty jsou dále schvalovány Vědeckou radou, která dbá na správnou praxi vědecké práce v rámci VO. Úsek náměstka pro vědu a výzkum spolu s Vědeckou radou organizují každoročně výroční konferenci projektů Institucionální podpory, která slouží k průběžnému hodnocení jednotlivých projektů, ale také k pravidelným </w:t>
            </w:r>
            <w:r w:rsidR="00316023">
              <w:rPr>
                <w:rFonts w:ascii="Arial" w:hAnsi="Arial" w:cs="Arial"/>
              </w:rPr>
              <w:t>školením v oblasti</w:t>
            </w:r>
            <w:r w:rsidRPr="007929A2">
              <w:rPr>
                <w:rFonts w:ascii="Arial" w:hAnsi="Arial" w:cs="Arial"/>
              </w:rPr>
              <w:t xml:space="preserve"> etik</w:t>
            </w:r>
            <w:r w:rsidR="00316023">
              <w:rPr>
                <w:rFonts w:ascii="Arial" w:hAnsi="Arial" w:cs="Arial"/>
              </w:rPr>
              <w:t>y</w:t>
            </w:r>
            <w:r w:rsidRPr="007929A2">
              <w:rPr>
                <w:rFonts w:ascii="Arial" w:hAnsi="Arial" w:cs="Arial"/>
              </w:rPr>
              <w:t xml:space="preserve"> vědecké práce. Odpovídající část finančních prostředků výzkumu je věnována na publikace vědeckých výsledků. Současná vnitřní pravidla </w:t>
            </w:r>
            <w:r w:rsidR="00316023">
              <w:rPr>
                <w:rFonts w:ascii="Arial" w:hAnsi="Arial" w:cs="Arial"/>
              </w:rPr>
              <w:t>FNM</w:t>
            </w:r>
            <w:r w:rsidRPr="007929A2">
              <w:rPr>
                <w:rFonts w:ascii="Arial" w:hAnsi="Arial" w:cs="Arial"/>
              </w:rPr>
              <w:t xml:space="preserve"> v tomto směru dovolují hradit pouze kvalitní vědecké publikace v Q1 a Q2 a zároveň blokují hrazení těchto poplatků v predátorských časopisech. I když na základě výše uvedeného VO dbá na dodržovaní etiky a správné praxe ve </w:t>
            </w:r>
            <w:proofErr w:type="spellStart"/>
            <w:r w:rsidRPr="007929A2">
              <w:rPr>
                <w:rFonts w:ascii="Arial" w:hAnsi="Arial" w:cs="Arial"/>
              </w:rPr>
              <w:t>VaVaI</w:t>
            </w:r>
            <w:proofErr w:type="spellEnd"/>
            <w:r w:rsidRPr="007929A2">
              <w:rPr>
                <w:rFonts w:ascii="Arial" w:hAnsi="Arial" w:cs="Arial"/>
              </w:rPr>
              <w:t xml:space="preserve"> aktivitách, lze doporučit všechny tyto principy ukotvit do formálního dokumentu typu Etický kodex pro vědecké a výzkumné pracovníky, se kterým budou všichni noví výzkumní pracovníci </w:t>
            </w:r>
            <w:r w:rsidR="00316023">
              <w:rPr>
                <w:rFonts w:ascii="Arial" w:hAnsi="Arial" w:cs="Arial"/>
              </w:rPr>
              <w:t xml:space="preserve">při nástupu </w:t>
            </w:r>
            <w:r w:rsidRPr="007929A2">
              <w:rPr>
                <w:rFonts w:ascii="Arial" w:hAnsi="Arial" w:cs="Arial"/>
              </w:rPr>
              <w:t xml:space="preserve">povinně seznámení. </w:t>
            </w:r>
          </w:p>
          <w:p w14:paraId="10074662" w14:textId="1CA499D6" w:rsidR="00CA6DF5" w:rsidRPr="007929A2" w:rsidRDefault="00316023" w:rsidP="00255739">
            <w:pPr>
              <w:jc w:val="both"/>
              <w:rPr>
                <w:rFonts w:ascii="Arial" w:hAnsi="Arial" w:cs="Arial"/>
                <w:szCs w:val="22"/>
              </w:rPr>
            </w:pPr>
            <w:r>
              <w:rPr>
                <w:rFonts w:ascii="Arial" w:hAnsi="Arial" w:cs="Arial"/>
                <w:szCs w:val="22"/>
              </w:rPr>
              <w:t>FNM je</w:t>
            </w:r>
            <w:r w:rsidR="00CA6DF5" w:rsidRPr="007929A2">
              <w:rPr>
                <w:rFonts w:ascii="Arial" w:hAnsi="Arial" w:cs="Arial"/>
                <w:szCs w:val="22"/>
              </w:rPr>
              <w:t xml:space="preserve"> velice aktivní v oblasti diseminace výsledků vlastní výzkumné činnosti a také jejich popularizace, </w:t>
            </w:r>
            <w:r>
              <w:rPr>
                <w:rFonts w:ascii="Arial" w:hAnsi="Arial" w:cs="Arial"/>
                <w:szCs w:val="22"/>
              </w:rPr>
              <w:t>ať už</w:t>
            </w:r>
            <w:r w:rsidR="00CA6DF5" w:rsidRPr="007929A2">
              <w:rPr>
                <w:rFonts w:ascii="Arial" w:hAnsi="Arial" w:cs="Arial"/>
                <w:szCs w:val="22"/>
              </w:rPr>
              <w:t xml:space="preserve"> cestou vlastních webových stránek, sociálních sítí, tiskovin FN Motol (Motol-in), případně účasti na konferencích či spolupráci s relevantními portály. </w:t>
            </w:r>
            <w:r>
              <w:rPr>
                <w:rFonts w:ascii="Arial" w:hAnsi="Arial" w:cs="Arial"/>
                <w:szCs w:val="22"/>
              </w:rPr>
              <w:t>FNM</w:t>
            </w:r>
            <w:r w:rsidR="00CA6DF5" w:rsidRPr="007929A2">
              <w:rPr>
                <w:rFonts w:ascii="Arial" w:hAnsi="Arial" w:cs="Arial"/>
                <w:szCs w:val="22"/>
              </w:rPr>
              <w:t xml:space="preserve"> dále vyhlašuje každoročně soutěž o Tvůrčí počin, k posílení zapojení mladých pracovníků ve výzkumu je v posledních 5 letech vyhlašován paralelně i Tvůrčí počin Junior, který se osvědčil v motivaci mladých výzkumníků. Ústav vědeckých informací pořádá pravidelná školení týkající se komplexní problematiky publikování vědeckých výsledků a taktéž organizuje sběr a vykazování publikační činnosti a zajišťuje podklady k hodnocení dle Metodiky2017+ v modulech M1 a M2. </w:t>
            </w:r>
          </w:p>
          <w:p w14:paraId="7B5E4DC6" w14:textId="77777777" w:rsidR="00EA1722" w:rsidRDefault="00CA6DF5" w:rsidP="00255739">
            <w:pPr>
              <w:pStyle w:val="Zhlav"/>
              <w:pBdr>
                <w:bottom w:val="single" w:sz="6" w:space="1" w:color="auto"/>
              </w:pBdr>
              <w:jc w:val="both"/>
              <w:rPr>
                <w:rFonts w:ascii="Arial" w:hAnsi="Arial" w:cs="Arial"/>
                <w:szCs w:val="22"/>
              </w:rPr>
            </w:pPr>
            <w:proofErr w:type="spellStart"/>
            <w:r>
              <w:rPr>
                <w:rFonts w:ascii="Arial" w:hAnsi="Arial" w:cs="Arial"/>
                <w:szCs w:val="22"/>
              </w:rPr>
              <w:t>Viabilita</w:t>
            </w:r>
            <w:proofErr w:type="spellEnd"/>
            <w:r>
              <w:rPr>
                <w:rFonts w:ascii="Arial" w:hAnsi="Arial" w:cs="Arial"/>
                <w:szCs w:val="22"/>
              </w:rPr>
              <w:t xml:space="preserve"> VO je hodnocena jako vynikající (A).</w:t>
            </w:r>
          </w:p>
          <w:p w14:paraId="2229B69D" w14:textId="77777777" w:rsidR="00DA6CD1" w:rsidRDefault="00DA6CD1" w:rsidP="00255739">
            <w:pPr>
              <w:pStyle w:val="Zhlav"/>
              <w:pBdr>
                <w:bottom w:val="single" w:sz="6" w:space="1" w:color="auto"/>
              </w:pBdr>
              <w:jc w:val="both"/>
              <w:rPr>
                <w:rFonts w:ascii="Arial" w:hAnsi="Arial" w:cs="Arial"/>
                <w:szCs w:val="22"/>
              </w:rPr>
            </w:pPr>
          </w:p>
          <w:p w14:paraId="437303B0" w14:textId="77777777" w:rsidR="00DA6CD1" w:rsidRDefault="00DA6CD1" w:rsidP="00255739">
            <w:pPr>
              <w:pStyle w:val="Zhlav"/>
              <w:pBdr>
                <w:bottom w:val="single" w:sz="6" w:space="1" w:color="auto"/>
              </w:pBdr>
              <w:jc w:val="both"/>
              <w:rPr>
                <w:rFonts w:ascii="Arial" w:hAnsi="Arial" w:cs="Arial"/>
                <w:szCs w:val="22"/>
              </w:rPr>
            </w:pPr>
          </w:p>
          <w:p w14:paraId="293884D2" w14:textId="61A5E179" w:rsidR="00DA6CD1" w:rsidRDefault="00DA6CD1" w:rsidP="00255739">
            <w:pPr>
              <w:pBdr>
                <w:bottom w:val="single" w:sz="6" w:space="1" w:color="auto"/>
              </w:pBdr>
              <w:jc w:val="both"/>
              <w:rPr>
                <w:rFonts w:ascii="Arial" w:hAnsi="Arial" w:cs="Arial"/>
                <w:b/>
                <w:bCs/>
                <w:color w:val="212121"/>
                <w:szCs w:val="22"/>
                <w:lang w:eastAsia="en-GB"/>
              </w:rPr>
            </w:pPr>
            <w:r w:rsidRPr="009C3CAC">
              <w:rPr>
                <w:rFonts w:ascii="Arial" w:hAnsi="Arial" w:cs="Arial"/>
                <w:b/>
                <w:bCs/>
                <w:color w:val="212121"/>
                <w:szCs w:val="22"/>
                <w:lang w:eastAsia="en-GB"/>
              </w:rPr>
              <w:t xml:space="preserve">Závěr průběžného hodnocení modulu </w:t>
            </w:r>
            <w:r>
              <w:rPr>
                <w:rFonts w:ascii="Arial" w:hAnsi="Arial" w:cs="Arial"/>
                <w:b/>
                <w:bCs/>
                <w:color w:val="212121"/>
                <w:szCs w:val="22"/>
                <w:lang w:eastAsia="en-GB"/>
              </w:rPr>
              <w:t>4</w:t>
            </w:r>
            <w:r w:rsidRPr="009C3CAC">
              <w:rPr>
                <w:rFonts w:ascii="Arial" w:hAnsi="Arial" w:cs="Arial"/>
                <w:b/>
                <w:bCs/>
                <w:color w:val="212121"/>
                <w:szCs w:val="22"/>
                <w:lang w:eastAsia="en-GB"/>
              </w:rPr>
              <w:t>:</w:t>
            </w:r>
          </w:p>
          <w:p w14:paraId="784C2801" w14:textId="05AFE9CB" w:rsidR="00DA6CD1" w:rsidRPr="009C3CAC" w:rsidRDefault="00DA6CD1" w:rsidP="00255739">
            <w:pPr>
              <w:pBdr>
                <w:bottom w:val="single" w:sz="6" w:space="1" w:color="auto"/>
              </w:pBdr>
              <w:jc w:val="both"/>
              <w:rPr>
                <w:rFonts w:ascii="Arial" w:hAnsi="Arial" w:cs="Arial"/>
                <w:b/>
                <w:bCs/>
                <w:color w:val="212121"/>
                <w:szCs w:val="22"/>
                <w:lang w:eastAsia="en-GB"/>
              </w:rPr>
            </w:pPr>
            <w:r>
              <w:rPr>
                <w:rFonts w:ascii="Arial" w:hAnsi="Arial" w:cs="Arial"/>
                <w:b/>
                <w:bCs/>
                <w:color w:val="212121"/>
                <w:szCs w:val="22"/>
                <w:lang w:eastAsia="en-GB"/>
              </w:rPr>
              <w:t>P</w:t>
            </w:r>
            <w:r w:rsidRPr="00F1333E">
              <w:rPr>
                <w:rFonts w:ascii="Arial" w:hAnsi="Arial" w:cs="Arial"/>
                <w:b/>
                <w:bCs/>
                <w:color w:val="212121"/>
                <w:szCs w:val="22"/>
                <w:lang w:eastAsia="en-GB"/>
              </w:rPr>
              <w:t xml:space="preserve">růběžné hodnocení </w:t>
            </w:r>
            <w:r>
              <w:rPr>
                <w:rFonts w:ascii="Arial" w:hAnsi="Arial" w:cs="Arial"/>
                <w:b/>
                <w:bCs/>
                <w:color w:val="212121"/>
                <w:szCs w:val="22"/>
                <w:lang w:eastAsia="en-GB"/>
              </w:rPr>
              <w:t xml:space="preserve">roku 2023 </w:t>
            </w:r>
            <w:r w:rsidRPr="00F1333E">
              <w:rPr>
                <w:rFonts w:ascii="Arial" w:hAnsi="Arial" w:cs="Arial"/>
                <w:b/>
                <w:bCs/>
                <w:color w:val="212121"/>
                <w:szCs w:val="22"/>
                <w:lang w:eastAsia="en-GB"/>
              </w:rPr>
              <w:t>odpovídá stavu v době škálování.</w:t>
            </w:r>
          </w:p>
          <w:p w14:paraId="2AFF8FB3" w14:textId="77777777" w:rsidR="00DA6CD1" w:rsidRDefault="00DA6CD1" w:rsidP="00255739">
            <w:pPr>
              <w:pStyle w:val="Zhlav"/>
              <w:pBdr>
                <w:bottom w:val="single" w:sz="6" w:space="1" w:color="auto"/>
              </w:pBdr>
              <w:jc w:val="both"/>
              <w:rPr>
                <w:rFonts w:ascii="Arial" w:hAnsi="Arial" w:cs="Arial"/>
                <w:szCs w:val="22"/>
              </w:rPr>
            </w:pPr>
          </w:p>
          <w:p w14:paraId="67112C34" w14:textId="77777777" w:rsidR="00DA6CD1" w:rsidRDefault="00DA6CD1" w:rsidP="00255739">
            <w:pPr>
              <w:pStyle w:val="Zhlav"/>
              <w:pBdr>
                <w:bottom w:val="single" w:sz="6" w:space="1" w:color="auto"/>
              </w:pBdr>
              <w:jc w:val="both"/>
              <w:rPr>
                <w:rFonts w:ascii="Arial" w:hAnsi="Arial" w:cs="Arial"/>
                <w:szCs w:val="22"/>
              </w:rPr>
            </w:pPr>
          </w:p>
          <w:p w14:paraId="731713A6" w14:textId="77777777" w:rsidR="00DA6CD1" w:rsidRDefault="00DA6CD1" w:rsidP="00255739">
            <w:pPr>
              <w:pStyle w:val="Zhlav"/>
              <w:pBdr>
                <w:bottom w:val="single" w:sz="6" w:space="1" w:color="auto"/>
              </w:pBdr>
              <w:jc w:val="both"/>
              <w:rPr>
                <w:rFonts w:ascii="Arial" w:hAnsi="Arial" w:cs="Arial"/>
                <w:szCs w:val="22"/>
              </w:rPr>
            </w:pPr>
          </w:p>
          <w:p w14:paraId="3E9CDC13" w14:textId="77777777" w:rsidR="00CA6DF5" w:rsidRDefault="00CA6DF5" w:rsidP="00255739">
            <w:pPr>
              <w:pStyle w:val="Zhlav"/>
              <w:jc w:val="both"/>
              <w:rPr>
                <w:rFonts w:ascii="Arial" w:hAnsi="Arial" w:cs="Arial"/>
                <w:szCs w:val="22"/>
              </w:rPr>
            </w:pPr>
          </w:p>
          <w:p w14:paraId="70885685" w14:textId="0223E696" w:rsidR="00CA6DF5" w:rsidRDefault="00CA6DF5" w:rsidP="00255739">
            <w:pPr>
              <w:pStyle w:val="Zhlav"/>
              <w:jc w:val="both"/>
              <w:rPr>
                <w:rFonts w:ascii="Arial" w:hAnsi="Arial" w:cs="Arial"/>
                <w:szCs w:val="22"/>
              </w:rPr>
            </w:pPr>
          </w:p>
        </w:tc>
      </w:tr>
      <w:tr w:rsidR="00EA1722" w:rsidRPr="00F162E4" w14:paraId="3E3263DE" w14:textId="77777777" w:rsidTr="009B5451">
        <w:trPr>
          <w:trHeight w:val="255"/>
          <w:jc w:val="center"/>
        </w:trPr>
        <w:tc>
          <w:tcPr>
            <w:tcW w:w="2637" w:type="dxa"/>
            <w:tcBorders>
              <w:left w:val="single" w:sz="2" w:space="0" w:color="auto"/>
              <w:right w:val="single" w:sz="2" w:space="0" w:color="auto"/>
            </w:tcBorders>
            <w:shd w:val="clear" w:color="auto" w:fill="auto"/>
            <w:vAlign w:val="center"/>
          </w:tcPr>
          <w:p w14:paraId="034E5A97" w14:textId="7E38F06C" w:rsidR="00EA1722" w:rsidRPr="00DB5CDA" w:rsidRDefault="00EA1722" w:rsidP="00255739">
            <w:pPr>
              <w:pStyle w:val="Zhlav"/>
              <w:jc w:val="both"/>
              <w:rPr>
                <w:rFonts w:ascii="Arial" w:hAnsi="Arial" w:cs="Arial"/>
                <w:b/>
                <w:smallCaps/>
                <w:spacing w:val="20"/>
                <w:szCs w:val="22"/>
              </w:rPr>
            </w:pPr>
            <w:r>
              <w:rPr>
                <w:rFonts w:ascii="Arial" w:hAnsi="Arial" w:cs="Arial"/>
                <w:b/>
                <w:szCs w:val="22"/>
              </w:rPr>
              <w:lastRenderedPageBreak/>
              <w:t>Modul 5 Strategie a koncepce A</w:t>
            </w:r>
          </w:p>
        </w:tc>
        <w:tc>
          <w:tcPr>
            <w:tcW w:w="6999" w:type="dxa"/>
            <w:gridSpan w:val="6"/>
            <w:tcBorders>
              <w:left w:val="single" w:sz="2" w:space="0" w:color="auto"/>
              <w:right w:val="single" w:sz="2" w:space="0" w:color="auto"/>
            </w:tcBorders>
            <w:shd w:val="clear" w:color="auto" w:fill="auto"/>
            <w:vAlign w:val="center"/>
          </w:tcPr>
          <w:p w14:paraId="585E8C1F" w14:textId="0F1482DC" w:rsidR="00EA1722" w:rsidRPr="00A50183" w:rsidRDefault="00A50183" w:rsidP="00255739">
            <w:pPr>
              <w:jc w:val="both"/>
              <w:rPr>
                <w:rFonts w:ascii="Arial" w:hAnsi="Arial" w:cs="Arial"/>
              </w:rPr>
            </w:pPr>
            <w:r w:rsidRPr="00A50183">
              <w:rPr>
                <w:rFonts w:ascii="Arial" w:hAnsi="Arial" w:cs="Arial"/>
              </w:rPr>
              <w:t xml:space="preserve">VO má z hlediska výzkumné činnosti jasně a velice kvalitně definovanou misi, vizi a hlavní cíle pro budoucí období. Mezi hlavní výzkumné oblasti patří pediatrie, onkologie a mikrobiologie, epidemiologie a infekce, a dále transplantace, chirurgické obory a přenos výsledků do praxe, a obory komplementu, rozvoj patologie, genetiky, imunologie. Výzkumné oblasti v těchto oborech má VO jasně definovány. Pro tyto cíle jsou definovány hlavní nástroje pro jejich dosažení a jejich plnění je každoročně kontrolováno Vědeckou radou VO, byť indikátory pokroku nejsou jasně formulovány. </w:t>
            </w:r>
            <w:r w:rsidR="00644C82">
              <w:rPr>
                <w:rFonts w:ascii="Arial" w:hAnsi="Arial" w:cs="Arial"/>
              </w:rPr>
              <w:t>D</w:t>
            </w:r>
            <w:r w:rsidRPr="00A50183">
              <w:rPr>
                <w:rFonts w:ascii="Arial" w:hAnsi="Arial" w:cs="Arial"/>
              </w:rPr>
              <w:t>ílčí cíle</w:t>
            </w:r>
            <w:r w:rsidR="00644C82">
              <w:rPr>
                <w:rFonts w:ascii="Arial" w:hAnsi="Arial" w:cs="Arial"/>
              </w:rPr>
              <w:t xml:space="preserve"> </w:t>
            </w:r>
            <w:r w:rsidRPr="00A50183">
              <w:rPr>
                <w:rFonts w:ascii="Arial" w:hAnsi="Arial" w:cs="Arial"/>
              </w:rPr>
              <w:t>jsou precizně formulován</w:t>
            </w:r>
            <w:r w:rsidR="00644C82">
              <w:rPr>
                <w:rFonts w:ascii="Arial" w:hAnsi="Arial" w:cs="Arial"/>
              </w:rPr>
              <w:t>y,</w:t>
            </w:r>
            <w:r w:rsidRPr="00A50183">
              <w:rPr>
                <w:rFonts w:ascii="Arial" w:hAnsi="Arial" w:cs="Arial"/>
              </w:rPr>
              <w:t xml:space="preserve"> </w:t>
            </w:r>
            <w:r w:rsidR="00644C82">
              <w:rPr>
                <w:rFonts w:ascii="Arial" w:hAnsi="Arial" w:cs="Arial"/>
              </w:rPr>
              <w:t>u</w:t>
            </w:r>
            <w:r w:rsidRPr="00A50183">
              <w:rPr>
                <w:rFonts w:ascii="Arial" w:hAnsi="Arial" w:cs="Arial"/>
              </w:rPr>
              <w:t xml:space="preserve">možňují vytvoření velice dobrého obrazu klíčových výzkumných aktivit VO, a potvrzují nejen dostatečné a kvalitní personální zajištění pro jejich realizaci, ale také jejich kvalitu skrze výsledky, kterých již bylo v daných oblastech dosaženo. Návaznost aktivit VO na národní a EU strategické dokumenty je definována velice dobře a potvrzuje plný soulad </w:t>
            </w:r>
            <w:proofErr w:type="spellStart"/>
            <w:r w:rsidRPr="00A50183">
              <w:rPr>
                <w:rFonts w:ascii="Arial" w:hAnsi="Arial" w:cs="Arial"/>
              </w:rPr>
              <w:t>VaVaI</w:t>
            </w:r>
            <w:proofErr w:type="spellEnd"/>
            <w:r w:rsidRPr="00A50183">
              <w:rPr>
                <w:rFonts w:ascii="Arial" w:hAnsi="Arial" w:cs="Arial"/>
              </w:rPr>
              <w:t xml:space="preserve"> činností VO s těmito strategiemi. Strategie a koncepce VO je hodnocena jako vynikající (A).</w:t>
            </w:r>
          </w:p>
        </w:tc>
      </w:tr>
      <w:tr w:rsidR="00EA1722" w:rsidRPr="001F0B21" w14:paraId="0358B48C"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49DA641E" w14:textId="77777777" w:rsidR="00EA1722" w:rsidRDefault="00EA1722" w:rsidP="00255739">
            <w:pPr>
              <w:pStyle w:val="Zhlav"/>
              <w:jc w:val="both"/>
              <w:rPr>
                <w:rFonts w:ascii="Arial" w:hAnsi="Arial" w:cs="Arial"/>
                <w:b/>
                <w:szCs w:val="22"/>
              </w:rPr>
            </w:pPr>
          </w:p>
          <w:p w14:paraId="34A3FAD5" w14:textId="5B02FB9A" w:rsidR="00EA1722" w:rsidRPr="00DB5CDA" w:rsidRDefault="00EA1722" w:rsidP="00255739">
            <w:pPr>
              <w:pStyle w:val="Odstavecseseznamem"/>
              <w:autoSpaceDE w:val="0"/>
              <w:autoSpaceDN w:val="0"/>
              <w:adjustRightInd w:val="0"/>
              <w:spacing w:after="120"/>
              <w:ind w:left="0"/>
              <w:contextualSpacing w:val="0"/>
              <w:jc w:val="both"/>
              <w:rPr>
                <w:rFonts w:ascii="Arial" w:hAnsi="Arial" w:cs="Arial"/>
                <w:b/>
                <w:szCs w:val="22"/>
              </w:rPr>
            </w:pPr>
          </w:p>
        </w:tc>
        <w:tc>
          <w:tcPr>
            <w:tcW w:w="6999" w:type="dxa"/>
            <w:gridSpan w:val="6"/>
            <w:tcBorders>
              <w:left w:val="single" w:sz="2" w:space="0" w:color="auto"/>
              <w:right w:val="single" w:sz="2" w:space="0" w:color="auto"/>
            </w:tcBorders>
            <w:shd w:val="clear" w:color="auto" w:fill="auto"/>
            <w:vAlign w:val="center"/>
          </w:tcPr>
          <w:p w14:paraId="0ADEA44E" w14:textId="77777777" w:rsidR="00DA6CD1" w:rsidRDefault="00DA6CD1" w:rsidP="00255739">
            <w:pPr>
              <w:pBdr>
                <w:bottom w:val="single" w:sz="6" w:space="1" w:color="auto"/>
              </w:pBdr>
              <w:jc w:val="both"/>
              <w:rPr>
                <w:rFonts w:ascii="Arial" w:hAnsi="Arial" w:cs="Arial"/>
                <w:b/>
                <w:bCs/>
                <w:color w:val="212121"/>
                <w:szCs w:val="22"/>
                <w:lang w:eastAsia="en-GB"/>
              </w:rPr>
            </w:pPr>
          </w:p>
          <w:p w14:paraId="1CA7A5A7" w14:textId="0ED9DFD0" w:rsidR="00DA6CD1" w:rsidRDefault="00DA6CD1" w:rsidP="00255739">
            <w:pPr>
              <w:pBdr>
                <w:bottom w:val="single" w:sz="6" w:space="1" w:color="auto"/>
              </w:pBdr>
              <w:jc w:val="both"/>
              <w:rPr>
                <w:rFonts w:ascii="Arial" w:hAnsi="Arial" w:cs="Arial"/>
                <w:b/>
                <w:bCs/>
                <w:color w:val="212121"/>
                <w:szCs w:val="22"/>
                <w:lang w:eastAsia="en-GB"/>
              </w:rPr>
            </w:pPr>
            <w:r w:rsidRPr="009C3CAC">
              <w:rPr>
                <w:rFonts w:ascii="Arial" w:hAnsi="Arial" w:cs="Arial"/>
                <w:b/>
                <w:bCs/>
                <w:color w:val="212121"/>
                <w:szCs w:val="22"/>
                <w:lang w:eastAsia="en-GB"/>
              </w:rPr>
              <w:t xml:space="preserve">Závěr průběžného hodnocení modulu </w:t>
            </w:r>
            <w:r>
              <w:rPr>
                <w:rFonts w:ascii="Arial" w:hAnsi="Arial" w:cs="Arial"/>
                <w:b/>
                <w:bCs/>
                <w:color w:val="212121"/>
                <w:szCs w:val="22"/>
                <w:lang w:eastAsia="en-GB"/>
              </w:rPr>
              <w:t>5</w:t>
            </w:r>
            <w:r w:rsidRPr="009C3CAC">
              <w:rPr>
                <w:rFonts w:ascii="Arial" w:hAnsi="Arial" w:cs="Arial"/>
                <w:b/>
                <w:bCs/>
                <w:color w:val="212121"/>
                <w:szCs w:val="22"/>
                <w:lang w:eastAsia="en-GB"/>
              </w:rPr>
              <w:t>:</w:t>
            </w:r>
          </w:p>
          <w:p w14:paraId="668AB1BC" w14:textId="661CF08B" w:rsidR="00DA6CD1" w:rsidRDefault="00DA6CD1" w:rsidP="00255739">
            <w:pPr>
              <w:pBdr>
                <w:bottom w:val="single" w:sz="6" w:space="1" w:color="auto"/>
              </w:pBdr>
              <w:jc w:val="both"/>
              <w:rPr>
                <w:rFonts w:ascii="Arial" w:hAnsi="Arial" w:cs="Arial"/>
                <w:b/>
                <w:bCs/>
                <w:color w:val="212121"/>
                <w:szCs w:val="22"/>
                <w:lang w:eastAsia="en-GB"/>
              </w:rPr>
            </w:pPr>
            <w:r>
              <w:rPr>
                <w:rFonts w:ascii="Arial" w:hAnsi="Arial" w:cs="Arial"/>
                <w:b/>
                <w:bCs/>
                <w:color w:val="212121"/>
                <w:szCs w:val="22"/>
                <w:lang w:eastAsia="en-GB"/>
              </w:rPr>
              <w:t>P</w:t>
            </w:r>
            <w:r w:rsidRPr="00F1333E">
              <w:rPr>
                <w:rFonts w:ascii="Arial" w:hAnsi="Arial" w:cs="Arial"/>
                <w:b/>
                <w:bCs/>
                <w:color w:val="212121"/>
                <w:szCs w:val="22"/>
                <w:lang w:eastAsia="en-GB"/>
              </w:rPr>
              <w:t xml:space="preserve">růběžné hodnocení </w:t>
            </w:r>
            <w:r>
              <w:rPr>
                <w:rFonts w:ascii="Arial" w:hAnsi="Arial" w:cs="Arial"/>
                <w:b/>
                <w:bCs/>
                <w:color w:val="212121"/>
                <w:szCs w:val="22"/>
                <w:lang w:eastAsia="en-GB"/>
              </w:rPr>
              <w:t xml:space="preserve">v roce 2023 </w:t>
            </w:r>
            <w:r w:rsidRPr="00F1333E">
              <w:rPr>
                <w:rFonts w:ascii="Arial" w:hAnsi="Arial" w:cs="Arial"/>
                <w:b/>
                <w:bCs/>
                <w:color w:val="212121"/>
                <w:szCs w:val="22"/>
                <w:lang w:eastAsia="en-GB"/>
              </w:rPr>
              <w:t>odpovídá stavu v době škálování.</w:t>
            </w:r>
            <w:r>
              <w:rPr>
                <w:rFonts w:ascii="Arial" w:hAnsi="Arial" w:cs="Arial"/>
                <w:b/>
                <w:bCs/>
                <w:color w:val="212121"/>
                <w:szCs w:val="22"/>
                <w:lang w:eastAsia="en-GB"/>
              </w:rPr>
              <w:t xml:space="preserve"> </w:t>
            </w:r>
            <w:r w:rsidRPr="00DA6CD1">
              <w:rPr>
                <w:rFonts w:ascii="Arial" w:hAnsi="Arial" w:cs="Arial"/>
                <w:b/>
                <w:bCs/>
                <w:color w:val="212121"/>
                <w:szCs w:val="22"/>
                <w:lang w:eastAsia="en-GB"/>
              </w:rPr>
              <w:t>FN v Motole se vypořádala se všemi námitkami ze vstupní hodnotící zprávy</w:t>
            </w:r>
            <w:r>
              <w:rPr>
                <w:rFonts w:ascii="Arial" w:hAnsi="Arial" w:cs="Arial"/>
                <w:b/>
                <w:bCs/>
                <w:color w:val="212121"/>
                <w:szCs w:val="22"/>
                <w:lang w:eastAsia="en-GB"/>
              </w:rPr>
              <w:t>.</w:t>
            </w:r>
          </w:p>
          <w:p w14:paraId="58D2D33F" w14:textId="77777777" w:rsidR="00DA6CD1" w:rsidRDefault="00DA6CD1" w:rsidP="00255739">
            <w:pPr>
              <w:pBdr>
                <w:bottom w:val="single" w:sz="6" w:space="1" w:color="auto"/>
              </w:pBdr>
              <w:jc w:val="both"/>
              <w:rPr>
                <w:rFonts w:ascii="Arial" w:hAnsi="Arial" w:cs="Arial"/>
                <w:b/>
                <w:bCs/>
                <w:color w:val="212121"/>
                <w:szCs w:val="22"/>
                <w:lang w:eastAsia="en-GB"/>
              </w:rPr>
            </w:pPr>
          </w:p>
          <w:p w14:paraId="13132CA8" w14:textId="77777777" w:rsidR="00DA6CD1" w:rsidRPr="009C3CAC" w:rsidRDefault="00DA6CD1" w:rsidP="00255739">
            <w:pPr>
              <w:pBdr>
                <w:bottom w:val="single" w:sz="6" w:space="1" w:color="auto"/>
              </w:pBdr>
              <w:jc w:val="both"/>
              <w:rPr>
                <w:rFonts w:ascii="Arial" w:hAnsi="Arial" w:cs="Arial"/>
                <w:b/>
                <w:bCs/>
                <w:color w:val="212121"/>
                <w:szCs w:val="22"/>
                <w:lang w:eastAsia="en-GB"/>
              </w:rPr>
            </w:pPr>
          </w:p>
          <w:p w14:paraId="75C0DFDA" w14:textId="77777777" w:rsidR="00EA1722" w:rsidRPr="001F0B21" w:rsidRDefault="00EA1722" w:rsidP="00255739">
            <w:pPr>
              <w:pStyle w:val="Zhlav"/>
              <w:jc w:val="both"/>
              <w:rPr>
                <w:rFonts w:ascii="Arial" w:hAnsi="Arial" w:cs="Arial"/>
                <w:szCs w:val="22"/>
                <w:highlight w:val="yellow"/>
              </w:rPr>
            </w:pPr>
          </w:p>
        </w:tc>
      </w:tr>
      <w:tr w:rsidR="00791517" w:rsidRPr="001F0B21" w14:paraId="3D3E9722" w14:textId="77777777" w:rsidTr="009B5451">
        <w:trPr>
          <w:trHeight w:val="265"/>
          <w:jc w:val="center"/>
        </w:trPr>
        <w:tc>
          <w:tcPr>
            <w:tcW w:w="2637" w:type="dxa"/>
            <w:tcBorders>
              <w:left w:val="single" w:sz="2" w:space="0" w:color="auto"/>
              <w:bottom w:val="single" w:sz="2" w:space="0" w:color="auto"/>
              <w:right w:val="single" w:sz="2" w:space="0" w:color="auto"/>
            </w:tcBorders>
            <w:shd w:val="clear" w:color="auto" w:fill="auto"/>
            <w:vAlign w:val="center"/>
          </w:tcPr>
          <w:p w14:paraId="7D130631" w14:textId="1FE5BFF9" w:rsidR="00791517" w:rsidRPr="00DB5CDA" w:rsidRDefault="00791517" w:rsidP="00255739">
            <w:pPr>
              <w:pStyle w:val="Zhlav"/>
              <w:jc w:val="both"/>
              <w:rPr>
                <w:rFonts w:ascii="Arial" w:hAnsi="Arial" w:cs="Arial"/>
                <w:b/>
                <w:smallCaps/>
                <w:spacing w:val="20"/>
                <w:szCs w:val="22"/>
              </w:rPr>
            </w:pPr>
          </w:p>
        </w:tc>
        <w:tc>
          <w:tcPr>
            <w:tcW w:w="6999" w:type="dxa"/>
            <w:gridSpan w:val="6"/>
            <w:tcBorders>
              <w:left w:val="single" w:sz="2" w:space="0" w:color="auto"/>
              <w:bottom w:val="single" w:sz="2" w:space="0" w:color="auto"/>
              <w:right w:val="single" w:sz="2" w:space="0" w:color="auto"/>
            </w:tcBorders>
            <w:shd w:val="clear" w:color="auto" w:fill="auto"/>
            <w:vAlign w:val="center"/>
          </w:tcPr>
          <w:p w14:paraId="3C77066F" w14:textId="77777777" w:rsidR="00791517" w:rsidRPr="001F0B21" w:rsidRDefault="00791517" w:rsidP="00255739">
            <w:pPr>
              <w:pStyle w:val="Zhlav"/>
              <w:jc w:val="both"/>
              <w:rPr>
                <w:rFonts w:ascii="Arial" w:hAnsi="Arial" w:cs="Arial"/>
                <w:szCs w:val="22"/>
                <w:highlight w:val="yellow"/>
              </w:rPr>
            </w:pPr>
          </w:p>
        </w:tc>
      </w:tr>
    </w:tbl>
    <w:p w14:paraId="66C18C0C" w14:textId="77777777" w:rsidR="00791517" w:rsidRDefault="00791517" w:rsidP="00255739">
      <w:pPr>
        <w:jc w:val="both"/>
      </w:pPr>
    </w:p>
    <w:p w14:paraId="3F7B4973" w14:textId="77777777" w:rsidR="005E6411" w:rsidRDefault="005E6411" w:rsidP="00255739">
      <w:pPr>
        <w:jc w:val="both"/>
      </w:pPr>
    </w:p>
    <w:sectPr w:rsidR="005E6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83"/>
    <w:rsid w:val="00076810"/>
    <w:rsid w:val="000779AD"/>
    <w:rsid w:val="00094A1B"/>
    <w:rsid w:val="000D1516"/>
    <w:rsid w:val="000D178D"/>
    <w:rsid w:val="00255739"/>
    <w:rsid w:val="002D55C6"/>
    <w:rsid w:val="00316023"/>
    <w:rsid w:val="0034701A"/>
    <w:rsid w:val="004829A8"/>
    <w:rsid w:val="004C4C60"/>
    <w:rsid w:val="00563DBF"/>
    <w:rsid w:val="005E6411"/>
    <w:rsid w:val="00644C82"/>
    <w:rsid w:val="006700BE"/>
    <w:rsid w:val="006F365C"/>
    <w:rsid w:val="00791517"/>
    <w:rsid w:val="00796777"/>
    <w:rsid w:val="007F2720"/>
    <w:rsid w:val="008D3DF2"/>
    <w:rsid w:val="00922F67"/>
    <w:rsid w:val="00936696"/>
    <w:rsid w:val="009C7D43"/>
    <w:rsid w:val="00A42BE2"/>
    <w:rsid w:val="00A50183"/>
    <w:rsid w:val="00B76DBE"/>
    <w:rsid w:val="00C23DA8"/>
    <w:rsid w:val="00CA6DF5"/>
    <w:rsid w:val="00CB2E83"/>
    <w:rsid w:val="00DA6CD1"/>
    <w:rsid w:val="00EA1722"/>
    <w:rsid w:val="00F17E11"/>
    <w:rsid w:val="00F20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F6C0D"/>
  <w15:chartTrackingRefBased/>
  <w15:docId w15:val="{D03A9F43-BC4E-42E2-97D0-68990576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9A8"/>
    <w:pPr>
      <w:spacing w:after="0" w:line="240" w:lineRule="auto"/>
    </w:pPr>
    <w:rPr>
      <w:rFonts w:ascii="Times New Roman" w:eastAsia="Times New Roman" w:hAnsi="Times New Roman" w:cs="Times New Roman"/>
      <w:kern w:val="0"/>
      <w:szCs w:val="20"/>
      <w:lang w:eastAsia="cs-CZ"/>
      <w14:ligatures w14:val="none"/>
    </w:rPr>
  </w:style>
  <w:style w:type="paragraph" w:styleId="Nadpis2">
    <w:name w:val="heading 2"/>
    <w:basedOn w:val="Normln"/>
    <w:next w:val="Normln"/>
    <w:link w:val="Nadpis2Char"/>
    <w:uiPriority w:val="9"/>
    <w:semiHidden/>
    <w:unhideWhenUsed/>
    <w:qFormat/>
    <w:rsid w:val="00CA6DF5"/>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
    <w:basedOn w:val="Normln"/>
    <w:link w:val="OdstavecseseznamemChar"/>
    <w:uiPriority w:val="34"/>
    <w:qFormat/>
    <w:rsid w:val="004829A8"/>
    <w:pPr>
      <w:ind w:left="720"/>
      <w:contextualSpacing/>
    </w:pPr>
  </w:style>
  <w:style w:type="paragraph" w:styleId="Zhlav">
    <w:name w:val="header"/>
    <w:basedOn w:val="Normln"/>
    <w:link w:val="ZhlavChar"/>
    <w:uiPriority w:val="99"/>
    <w:unhideWhenUsed/>
    <w:rsid w:val="004829A8"/>
    <w:pPr>
      <w:tabs>
        <w:tab w:val="center" w:pos="4536"/>
        <w:tab w:val="right" w:pos="9072"/>
      </w:tabs>
    </w:pPr>
  </w:style>
  <w:style w:type="character" w:customStyle="1" w:styleId="ZhlavChar">
    <w:name w:val="Záhlaví Char"/>
    <w:basedOn w:val="Standardnpsmoodstavce"/>
    <w:link w:val="Zhlav"/>
    <w:uiPriority w:val="99"/>
    <w:rsid w:val="004829A8"/>
    <w:rPr>
      <w:rFonts w:ascii="Times New Roman" w:eastAsia="Times New Roman" w:hAnsi="Times New Roman" w:cs="Times New Roman"/>
      <w:kern w:val="0"/>
      <w:szCs w:val="20"/>
      <w:lang w:eastAsia="cs-CZ"/>
      <w14:ligatures w14:val="none"/>
    </w:rPr>
  </w:style>
  <w:style w:type="character" w:customStyle="1" w:styleId="OdstavecseseznamemChar">
    <w:name w:val="Odstavec se seznamem Char"/>
    <w:aliases w:val="Nad Char,Odstavec_muj Char,Název grafu Char,nad 1 Char"/>
    <w:link w:val="Odstavecseseznamem"/>
    <w:uiPriority w:val="34"/>
    <w:locked/>
    <w:rsid w:val="004829A8"/>
    <w:rPr>
      <w:rFonts w:ascii="Times New Roman" w:eastAsia="Times New Roman" w:hAnsi="Times New Roman" w:cs="Times New Roman"/>
      <w:kern w:val="0"/>
      <w:szCs w:val="20"/>
      <w:lang w:eastAsia="cs-CZ"/>
      <w14:ligatures w14:val="none"/>
    </w:rPr>
  </w:style>
  <w:style w:type="character" w:customStyle="1" w:styleId="Zkladntext">
    <w:name w:val="Základní text_"/>
    <w:basedOn w:val="Standardnpsmoodstavce"/>
    <w:link w:val="Zkladntext1"/>
    <w:rsid w:val="005E6411"/>
    <w:rPr>
      <w:rFonts w:ascii="Calibri" w:eastAsia="Calibri" w:hAnsi="Calibri" w:cs="Calibri"/>
    </w:rPr>
  </w:style>
  <w:style w:type="paragraph" w:customStyle="1" w:styleId="Zkladntext1">
    <w:name w:val="Základní text1"/>
    <w:basedOn w:val="Normln"/>
    <w:link w:val="Zkladntext"/>
    <w:rsid w:val="005E6411"/>
    <w:pPr>
      <w:widowControl w:val="0"/>
      <w:spacing w:after="320" w:line="271" w:lineRule="auto"/>
    </w:pPr>
    <w:rPr>
      <w:rFonts w:ascii="Calibri" w:eastAsia="Calibri" w:hAnsi="Calibri" w:cs="Calibri"/>
      <w:kern w:val="2"/>
      <w:szCs w:val="22"/>
      <w:lang w:eastAsia="en-US"/>
      <w14:ligatures w14:val="standardContextual"/>
    </w:rPr>
  </w:style>
  <w:style w:type="character" w:customStyle="1" w:styleId="Nadpis2Char">
    <w:name w:val="Nadpis 2 Char"/>
    <w:basedOn w:val="Standardnpsmoodstavce"/>
    <w:link w:val="Nadpis2"/>
    <w:uiPriority w:val="9"/>
    <w:semiHidden/>
    <w:rsid w:val="00CA6DF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1539</Words>
  <Characters>9084</Characters>
  <Application>Microsoft Office Word</Application>
  <DocSecurity>0</DocSecurity>
  <Lines>75</Lines>
  <Paragraphs>21</Paragraphs>
  <ScaleCrop>false</ScaleCrop>
  <Company>Office365 deploy</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Hejnová Jana, Ing.</dc:creator>
  <cp:keywords/>
  <dc:description/>
  <cp:lastModifiedBy>Hejnová Jana, Ing.</cp:lastModifiedBy>
  <cp:revision>4</cp:revision>
  <dcterms:created xsi:type="dcterms:W3CDTF">2025-01-06T06:36:00Z</dcterms:created>
  <dcterms:modified xsi:type="dcterms:W3CDTF">2025-01-06T09:50:00Z</dcterms:modified>
</cp:coreProperties>
</file>